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pPr>
      <w:r>
        <w:rPr>
          <w:rStyle w:val="StrongEmphasis"/>
          <w:rFonts w:cs="Arial" w:ascii="Arial" w:hAnsi="Arial"/>
          <w:color w:val="000000"/>
          <w:sz w:val="26"/>
          <w:szCs w:val="26"/>
        </w:rPr>
        <w:t>High Commission of India</w:t>
      </w:r>
      <w:r>
        <w:rPr>
          <w:rStyle w:val="DefaultParagraphFont"/>
          <w:rFonts w:cs="Arial" w:ascii="Arial" w:hAnsi="Arial"/>
          <w:b/>
          <w:bCs/>
          <w:sz w:val="26"/>
          <w:szCs w:val="26"/>
        </w:rPr>
        <w:t>, Kampala</w:t>
      </w:r>
    </w:p>
    <w:p>
      <w:pPr>
        <w:pStyle w:val="TextBody"/>
        <w:jc w:val="center"/>
        <w:rPr>
          <w:rFonts w:ascii="Arial" w:hAnsi="Arial" w:cs="Arial"/>
          <w:b/>
          <w:b/>
          <w:bCs/>
          <w:sz w:val="26"/>
          <w:szCs w:val="26"/>
        </w:rPr>
      </w:pPr>
      <w:r>
        <w:rPr>
          <w:rFonts w:cs="Arial" w:ascii="Arial" w:hAnsi="Arial"/>
          <w:b/>
          <w:bCs/>
          <w:sz w:val="26"/>
          <w:szCs w:val="26"/>
        </w:rPr>
        <w:t>(Concurrently accredited as Embassy of India to Burundi)</w:t>
      </w:r>
    </w:p>
    <w:p>
      <w:pPr>
        <w:pStyle w:val="TextBody"/>
        <w:jc w:val="center"/>
        <w:rPr>
          <w:rFonts w:ascii="Arial" w:hAnsi="Arial" w:cs="Arial"/>
          <w:sz w:val="26"/>
          <w:szCs w:val="26"/>
        </w:rPr>
      </w:pPr>
      <w:r>
        <w:rPr>
          <w:rFonts w:cs="Arial" w:ascii="Arial" w:hAnsi="Arial"/>
          <w:sz w:val="26"/>
          <w:szCs w:val="26"/>
        </w:rPr>
      </w:r>
    </w:p>
    <w:p>
      <w:pPr>
        <w:pStyle w:val="TextBody"/>
        <w:jc w:val="both"/>
        <w:rPr/>
      </w:pPr>
      <w:r>
        <w:rPr>
          <w:rStyle w:val="StrongEmphasis"/>
          <w:rFonts w:cs="Arial" w:ascii="Arial" w:hAnsi="Arial"/>
          <w:color w:val="000000"/>
          <w:sz w:val="26"/>
          <w:szCs w:val="26"/>
          <w:u w:val="single"/>
        </w:rPr>
        <w:t>India-Burundi Bilateral Relations</w:t>
      </w:r>
    </w:p>
    <w:p>
      <w:pPr>
        <w:pStyle w:val="TextBody"/>
        <w:jc w:val="both"/>
        <w:rPr>
          <w:rFonts w:ascii="Arial" w:hAnsi="Arial" w:cs="Arial"/>
          <w:b/>
          <w:b/>
          <w:bCs/>
          <w:color w:val="000000"/>
          <w:sz w:val="26"/>
          <w:szCs w:val="26"/>
        </w:rPr>
      </w:pPr>
      <w:r>
        <w:rPr>
          <w:rFonts w:cs="Arial" w:ascii="Arial" w:hAnsi="Arial"/>
          <w:b/>
          <w:bCs/>
          <w:color w:val="000000"/>
          <w:sz w:val="26"/>
          <w:szCs w:val="26"/>
        </w:rPr>
      </w:r>
    </w:p>
    <w:p>
      <w:pPr>
        <w:pStyle w:val="TextBody"/>
        <w:jc w:val="both"/>
        <w:rPr>
          <w:rFonts w:ascii="Arial" w:hAnsi="Arial" w:cs="Arial"/>
          <w:b/>
          <w:b/>
          <w:bCs/>
          <w:color w:val="000000"/>
          <w:sz w:val="26"/>
          <w:szCs w:val="26"/>
        </w:rPr>
      </w:pPr>
      <w:r>
        <w:rPr>
          <w:rFonts w:cs="Arial" w:ascii="Arial" w:hAnsi="Arial"/>
          <w:b/>
          <w:bCs/>
          <w:color w:val="000000"/>
          <w:sz w:val="26"/>
          <w:szCs w:val="26"/>
        </w:rPr>
        <w:t>Political Relations</w:t>
      </w:r>
    </w:p>
    <w:p>
      <w:pPr>
        <w:pStyle w:val="TextBody"/>
        <w:jc w:val="both"/>
        <w:rPr>
          <w:rFonts w:ascii="Arial" w:hAnsi="Arial" w:cs="Arial"/>
          <w:sz w:val="26"/>
          <w:szCs w:val="26"/>
        </w:rPr>
      </w:pPr>
      <w:r>
        <w:rPr>
          <w:rFonts w:cs="Arial" w:ascii="Arial" w:hAnsi="Arial"/>
          <w:sz w:val="26"/>
          <w:szCs w:val="26"/>
        </w:rPr>
        <w:t>India and Burundi enjoy cordial and friendly relations. The opening of Burundi’s resident</w:t>
        <w:br/>
        <w:t>mission in New Delhi in 2009 and progressive interactions between political leaderships</w:t>
        <w:br/>
        <w:t>of the two countries have lent importance and direction to the relationship.</w:t>
      </w:r>
    </w:p>
    <w:p>
      <w:pPr>
        <w:pStyle w:val="TextBody"/>
        <w:jc w:val="both"/>
        <w:rPr/>
      </w:pPr>
      <w:r>
        <w:rPr>
          <w:rStyle w:val="StrongEmphasis"/>
          <w:rFonts w:cs="Arial" w:ascii="Arial" w:hAnsi="Arial"/>
          <w:color w:val="000000"/>
          <w:sz w:val="26"/>
          <w:szCs w:val="26"/>
        </w:rPr>
        <w:t>Bilateral Institutional Mechanisms:</w:t>
      </w:r>
      <w:r>
        <w:rPr>
          <w:rStyle w:val="DefaultParagraphFont"/>
          <w:rFonts w:cs="Arial" w:ascii="Arial" w:hAnsi="Arial"/>
          <w:sz w:val="26"/>
          <w:szCs w:val="26"/>
        </w:rPr>
        <w:t xml:space="preserve"> </w:t>
      </w:r>
      <w:r>
        <w:rPr>
          <w:rStyle w:val="DefaultParagraphFont"/>
          <w:rFonts w:cs="Arial" w:ascii="Arial" w:hAnsi="Arial"/>
          <w:color w:val="000000"/>
          <w:sz w:val="26"/>
          <w:szCs w:val="26"/>
        </w:rPr>
        <w:t>The first ever Foreign Office Consultations between India and Burundi were held in October 2017 in New Delhi where issues of bilateral, regional and global importance were discussed.</w:t>
      </w:r>
    </w:p>
    <w:p>
      <w:pPr>
        <w:pStyle w:val="Normal"/>
        <w:jc w:val="both"/>
        <w:rPr/>
      </w:pPr>
      <w:bookmarkStart w:id="0" w:name="page3R_mcid13"/>
      <w:bookmarkEnd w:id="0"/>
      <w:r>
        <w:rPr>
          <w:rStyle w:val="StrongEmphasis"/>
          <w:rFonts w:cs="Arial" w:ascii="Arial" w:hAnsi="Arial"/>
          <w:color w:val="000000"/>
          <w:sz w:val="26"/>
          <w:szCs w:val="26"/>
        </w:rPr>
        <w:t>Ministerial Visits from India</w:t>
      </w:r>
    </w:p>
    <w:p>
      <w:pPr>
        <w:pStyle w:val="Normal"/>
        <w:jc w:val="both"/>
        <w:rPr/>
      </w:pPr>
      <w:r>
        <w:rPr/>
      </w:r>
    </w:p>
    <w:p>
      <w:pPr>
        <w:pStyle w:val="TextBody"/>
        <w:numPr>
          <w:ilvl w:val="0"/>
          <w:numId w:val="2"/>
        </w:numPr>
        <w:tabs>
          <w:tab w:val="clear" w:pos="709"/>
        </w:tabs>
        <w:ind w:left="630" w:right="0" w:hanging="450"/>
        <w:jc w:val="both"/>
        <w:rPr>
          <w:rFonts w:ascii="Arial" w:hAnsi="Arial" w:cs="Arial"/>
          <w:color w:val="000000"/>
          <w:sz w:val="26"/>
          <w:szCs w:val="26"/>
          <w:lang w:val="en-IN"/>
        </w:rPr>
      </w:pPr>
      <w:r>
        <w:rPr>
          <w:rFonts w:cs="Arial" w:ascii="Arial" w:hAnsi="Arial"/>
          <w:color w:val="000000"/>
          <w:sz w:val="26"/>
          <w:szCs w:val="26"/>
          <w:lang w:val="en-IN"/>
        </w:rPr>
        <w:t>MoS for Agriculture and Food Processing Industries, Shri Arun Yadav, visited Burundi in May, 2011 as a Special Envoy of the Prime Minister for inviting the President of Burundi to the second India-Africa Forum Summit (IAFS-II).</w:t>
      </w:r>
    </w:p>
    <w:p>
      <w:pPr>
        <w:pStyle w:val="TextBody"/>
        <w:numPr>
          <w:ilvl w:val="0"/>
          <w:numId w:val="3"/>
        </w:numPr>
        <w:tabs>
          <w:tab w:val="clear" w:pos="709"/>
        </w:tabs>
        <w:ind w:left="630" w:right="0" w:hanging="450"/>
        <w:jc w:val="both"/>
        <w:rPr>
          <w:rFonts w:ascii="Arial" w:hAnsi="Arial" w:cs="Arial"/>
          <w:color w:val="000000"/>
          <w:sz w:val="26"/>
          <w:szCs w:val="26"/>
          <w:lang w:val="en-IN"/>
        </w:rPr>
      </w:pPr>
      <w:r>
        <w:rPr>
          <w:rFonts w:cs="Arial" w:ascii="Arial" w:hAnsi="Arial"/>
          <w:color w:val="000000"/>
          <w:sz w:val="26"/>
          <w:szCs w:val="26"/>
          <w:lang w:val="en-IN"/>
        </w:rPr>
        <w:t xml:space="preserve">A delegation led by MoS for External Affairs, Smt. Preneet Kaur visited Burundi in February, 2012. A multi-sectoral CII business delegation also accompanied the Minister. A General Cooperation Agreement was signed by the two sides during the visit. </w:t>
      </w:r>
    </w:p>
    <w:p>
      <w:pPr>
        <w:pStyle w:val="TextBody"/>
        <w:numPr>
          <w:ilvl w:val="0"/>
          <w:numId w:val="3"/>
        </w:numPr>
        <w:tabs>
          <w:tab w:val="clear" w:pos="709"/>
        </w:tabs>
        <w:ind w:left="630" w:right="0" w:hanging="450"/>
        <w:jc w:val="both"/>
        <w:rPr>
          <w:rFonts w:ascii="Arial" w:hAnsi="Arial" w:cs="Arial"/>
          <w:color w:val="000000"/>
          <w:sz w:val="26"/>
          <w:szCs w:val="26"/>
          <w:lang w:val="en-IN"/>
        </w:rPr>
      </w:pPr>
      <w:r>
        <w:rPr>
          <w:rFonts w:cs="Arial" w:ascii="Arial" w:hAnsi="Arial"/>
          <w:color w:val="000000"/>
          <w:sz w:val="26"/>
          <w:szCs w:val="26"/>
          <w:lang w:val="en-IN"/>
        </w:rPr>
        <w:t xml:space="preserve">MoS for Rural Development Shri Sudarshan Bhagat visited Burundi in July 2015 as PM’s Special Envoy to extend an invitation to the President and the Foreign Minister for IAFS-III. </w:t>
      </w:r>
    </w:p>
    <w:p>
      <w:pPr>
        <w:pStyle w:val="Normal"/>
        <w:shd w:fill="FFFFFF" w:val="clear"/>
        <w:ind w:left="0" w:right="0" w:hanging="180"/>
        <w:jc w:val="both"/>
        <w:rPr>
          <w:rFonts w:ascii="Arial" w:hAnsi="Arial" w:eastAsia="Times New Roman" w:cs="Arial"/>
          <w:b/>
          <w:b/>
          <w:bCs/>
          <w:sz w:val="26"/>
          <w:szCs w:val="26"/>
        </w:rPr>
      </w:pPr>
      <w:r>
        <w:rPr>
          <w:rFonts w:eastAsia="Times New Roman" w:cs="Arial" w:ascii="Arial" w:hAnsi="Arial"/>
          <w:b/>
          <w:bCs/>
          <w:sz w:val="26"/>
          <w:szCs w:val="26"/>
        </w:rPr>
        <w:t xml:space="preserve">   </w:t>
      </w:r>
      <w:r>
        <w:rPr>
          <w:rFonts w:eastAsia="Times New Roman" w:cs="Arial" w:ascii="Arial" w:hAnsi="Arial"/>
          <w:b/>
          <w:bCs/>
          <w:sz w:val="26"/>
          <w:szCs w:val="26"/>
        </w:rPr>
        <w:t>High-Level Visits from Burundi</w:t>
      </w:r>
    </w:p>
    <w:p>
      <w:pPr>
        <w:pStyle w:val="Normal"/>
        <w:numPr>
          <w:ilvl w:val="0"/>
          <w:numId w:val="1"/>
        </w:numPr>
        <w:shd w:fill="FFFFFF" w:val="clear"/>
        <w:spacing w:before="181" w:after="0"/>
        <w:ind w:left="0" w:right="0" w:hanging="540"/>
        <w:jc w:val="both"/>
        <w:rPr/>
      </w:pPr>
      <w:r>
        <w:rPr>
          <w:rStyle w:val="StrongEmphasis"/>
          <w:rFonts w:eastAsia="Times New Roman" w:cs="Arial" w:ascii="Arial" w:hAnsi="Arial"/>
          <w:b w:val="false"/>
          <w:bCs w:val="false"/>
          <w:color w:val="000000"/>
          <w:sz w:val="26"/>
          <w:szCs w:val="26"/>
        </w:rPr>
        <w:t>President Pierre Nkurunziza paid a state visit to India in September 2012.</w:t>
      </w:r>
    </w:p>
    <w:p>
      <w:pPr>
        <w:pStyle w:val="Normal"/>
        <w:numPr>
          <w:ilvl w:val="0"/>
          <w:numId w:val="1"/>
        </w:numPr>
        <w:shd w:fill="FFFFFF" w:val="clear"/>
        <w:spacing w:before="181" w:after="0"/>
        <w:ind w:left="0" w:right="0" w:hanging="540"/>
        <w:jc w:val="both"/>
        <w:rPr/>
      </w:pPr>
      <w:r>
        <w:rPr>
          <w:rStyle w:val="StrongEmphasis"/>
          <w:rFonts w:eastAsia="Times New Roman" w:cs="Arial" w:ascii="Arial" w:hAnsi="Arial"/>
          <w:b w:val="false"/>
          <w:bCs w:val="false"/>
          <w:color w:val="000000"/>
          <w:sz w:val="26"/>
          <w:szCs w:val="26"/>
        </w:rPr>
        <w:t>Second Vice President Mr. Gervais Rufyikiri led a business delegation to the 9th CII</w:t>
        <w:br/>
        <w:t>Exim Bank Conclave to New Delhi in March 2013.</w:t>
      </w:r>
    </w:p>
    <w:p>
      <w:pPr>
        <w:pStyle w:val="Normal"/>
        <w:numPr>
          <w:ilvl w:val="0"/>
          <w:numId w:val="1"/>
        </w:numPr>
        <w:shd w:fill="FFFFFF" w:val="clear"/>
        <w:spacing w:before="181" w:after="0"/>
        <w:ind w:left="0" w:right="0" w:hanging="540"/>
        <w:jc w:val="both"/>
        <w:rPr/>
      </w:pPr>
      <w:r>
        <w:rPr>
          <w:rStyle w:val="StrongEmphasis"/>
          <w:rFonts w:eastAsia="Times New Roman" w:cs="Arial" w:ascii="Arial" w:hAnsi="Arial"/>
          <w:b w:val="false"/>
          <w:bCs w:val="false"/>
          <w:color w:val="000000"/>
          <w:sz w:val="26"/>
          <w:szCs w:val="26"/>
        </w:rPr>
        <w:t>First Vice President of Burundi Gaston Sindimwo led Burundian delegation to India to attend IAFS-III in October 2015. He was accompanied by the Foreign Minister.</w:t>
      </w:r>
    </w:p>
    <w:p>
      <w:pPr>
        <w:pStyle w:val="Normal"/>
        <w:numPr>
          <w:ilvl w:val="0"/>
          <w:numId w:val="1"/>
        </w:numPr>
        <w:shd w:fill="FFFFFF" w:val="clear"/>
        <w:spacing w:before="181" w:after="0"/>
        <w:ind w:left="0" w:right="0" w:hanging="540"/>
        <w:jc w:val="both"/>
        <w:rPr/>
      </w:pPr>
      <w:r>
        <w:rPr>
          <w:rStyle w:val="DefaultParagraphFont"/>
          <w:rFonts w:eastAsia="Times New Roman" w:cs="Arial" w:ascii="Arial" w:hAnsi="Arial"/>
          <w:iCs/>
          <w:color w:val="000000"/>
          <w:sz w:val="26"/>
          <w:szCs w:val="26"/>
          <w:lang w:val="en-IN"/>
        </w:rPr>
        <w:t>Major General Ndayishimiye Evariste, Secretary General of the ruling party of Burundi, CNDD-FDD visited India in March 2018 to attend 13</w:t>
      </w:r>
      <w:r>
        <w:rPr>
          <w:rStyle w:val="DefaultParagraphFont"/>
          <w:rFonts w:eastAsia="Times New Roman" w:cs="Arial" w:ascii="Arial" w:hAnsi="Arial"/>
          <w:iCs/>
          <w:color w:val="000000"/>
          <w:position w:val="7"/>
          <w:sz w:val="17"/>
          <w:sz w:val="26"/>
          <w:szCs w:val="26"/>
          <w:lang w:val="en-IN"/>
        </w:rPr>
        <w:t>th</w:t>
      </w:r>
      <w:r>
        <w:rPr>
          <w:rStyle w:val="DefaultParagraphFont"/>
          <w:rFonts w:eastAsia="Times New Roman" w:cs="Arial" w:ascii="Arial" w:hAnsi="Arial"/>
          <w:iCs/>
          <w:color w:val="000000"/>
          <w:sz w:val="26"/>
          <w:szCs w:val="26"/>
          <w:lang w:val="en-IN"/>
        </w:rPr>
        <w:t xml:space="preserve"> CII-EXIM Bank Conclave.</w:t>
      </w:r>
    </w:p>
    <w:p>
      <w:pPr>
        <w:pStyle w:val="Normal"/>
        <w:numPr>
          <w:ilvl w:val="0"/>
          <w:numId w:val="1"/>
        </w:numPr>
        <w:shd w:fill="FFFFFF" w:val="clear"/>
        <w:spacing w:before="181" w:after="0"/>
        <w:ind w:left="0" w:right="0" w:hanging="540"/>
        <w:jc w:val="both"/>
        <w:rPr/>
      </w:pPr>
      <w:r>
        <w:rPr>
          <w:rStyle w:val="DefaultParagraphFont"/>
          <w:rFonts w:eastAsia="Times New Roman" w:cs="Arial" w:ascii="Arial" w:hAnsi="Arial"/>
          <w:iCs/>
          <w:color w:val="000000"/>
          <w:sz w:val="26"/>
          <w:szCs w:val="26"/>
          <w:lang w:val="en-IN"/>
        </w:rPr>
        <w:t>Ms. E</w:t>
      </w:r>
      <w:r>
        <w:rPr>
          <w:rStyle w:val="DefaultParagraphFont"/>
          <w:rFonts w:eastAsia="Times New Roman" w:cs="Arial" w:ascii="Arial" w:hAnsi="Arial"/>
          <w:color w:val="000000"/>
          <w:sz w:val="26"/>
          <w:szCs w:val="26"/>
          <w:lang w:val="en-IN"/>
        </w:rPr>
        <w:t>velyne Butoyi, Minister of Youth, Posts and ICT, Burundi led a delegation from Burundi to attend India Telecom 2019 held at New Delhi in February 2019.</w:t>
      </w:r>
    </w:p>
    <w:p>
      <w:pPr>
        <w:pStyle w:val="Normal"/>
        <w:numPr>
          <w:ilvl w:val="0"/>
          <w:numId w:val="1"/>
        </w:numPr>
        <w:shd w:fill="FFFFFF" w:val="clear"/>
        <w:spacing w:before="181" w:after="0"/>
        <w:ind w:left="0" w:right="0" w:hanging="540"/>
        <w:jc w:val="both"/>
        <w:rPr>
          <w:rFonts w:ascii="Arial" w:hAnsi="Arial" w:eastAsia="Times New Roman" w:cs="Arial"/>
          <w:color w:val="000000"/>
          <w:sz w:val="26"/>
          <w:szCs w:val="26"/>
          <w:lang w:val="en-IN"/>
        </w:rPr>
      </w:pPr>
      <w:r>
        <w:rPr>
          <w:rFonts w:eastAsia="Times New Roman" w:cs="Arial" w:ascii="Arial" w:hAnsi="Arial"/>
          <w:color w:val="000000"/>
          <w:sz w:val="26"/>
          <w:szCs w:val="26"/>
          <w:lang w:val="en-IN"/>
        </w:rPr>
        <w:t>Dr. D. Ndihokubwayo, Minister of Finance, Budget and Economic Development Cooperation visited India for signing of LOC agreement on 02 July 2019 between Govt. of Burundi and EXIM Bank for construction of the new Parliament Building in Gitega and two Ministerial buildings in Bujumbura.</w:t>
      </w:r>
    </w:p>
    <w:p>
      <w:pPr>
        <w:pStyle w:val="Normal"/>
        <w:numPr>
          <w:ilvl w:val="0"/>
          <w:numId w:val="1"/>
        </w:numPr>
        <w:shd w:fill="FFFFFF" w:val="clear"/>
        <w:spacing w:before="181" w:after="0"/>
        <w:ind w:left="0" w:right="0" w:hanging="540"/>
        <w:jc w:val="both"/>
        <w:rPr>
          <w:rFonts w:ascii="Arial" w:hAnsi="Arial" w:eastAsia="Times New Roman" w:cs="Arial"/>
          <w:color w:val="000000"/>
          <w:sz w:val="26"/>
          <w:szCs w:val="26"/>
          <w:lang w:val="en-IN"/>
        </w:rPr>
      </w:pPr>
      <w:r>
        <w:rPr>
          <w:rFonts w:eastAsia="Times New Roman" w:cs="Arial" w:ascii="Arial" w:hAnsi="Arial"/>
          <w:color w:val="000000"/>
          <w:sz w:val="26"/>
          <w:szCs w:val="26"/>
          <w:lang w:val="en-IN"/>
        </w:rPr>
        <w:t>Mr. Come Manirakiza, Minister of Hydralics, Energy represented Burundi in 2nd General Assembly of ISA held in October 2019 in New Delhi.</w:t>
      </w:r>
    </w:p>
    <w:p>
      <w:pPr>
        <w:pStyle w:val="TextBody"/>
        <w:jc w:val="both"/>
        <w:rPr/>
      </w:pPr>
      <w:r>
        <w:rPr/>
      </w:r>
      <w:bookmarkStart w:id="1" w:name="page28R_mcid42"/>
      <w:bookmarkStart w:id="2" w:name="page28R_mcid42"/>
      <w:bookmarkEnd w:id="2"/>
    </w:p>
    <w:p>
      <w:pPr>
        <w:pStyle w:val="TextBody"/>
        <w:jc w:val="both"/>
        <w:rPr/>
      </w:pPr>
      <w:r>
        <w:rPr>
          <w:rStyle w:val="StrongEmphasis"/>
          <w:rFonts w:cs="Arial" w:ascii="Arial" w:hAnsi="Arial"/>
          <w:color w:val="000000"/>
          <w:sz w:val="26"/>
          <w:szCs w:val="26"/>
        </w:rPr>
        <w:t>Bilateral Trade</w:t>
      </w:r>
    </w:p>
    <w:p>
      <w:pPr>
        <w:pStyle w:val="TextBody"/>
        <w:jc w:val="both"/>
        <w:rPr/>
      </w:pPr>
      <w:r>
        <w:rPr>
          <w:rStyle w:val="StrongEmphasis"/>
          <w:rFonts w:cs="Arial" w:ascii="Arial" w:hAnsi="Arial"/>
          <w:b w:val="false"/>
          <w:bCs w:val="false"/>
          <w:color w:val="000000"/>
          <w:sz w:val="26"/>
          <w:szCs w:val="26"/>
          <w:lang w:val="en-IN"/>
        </w:rPr>
        <w:t xml:space="preserve">India’s exports to Burundi comprise pharmaceuticals and chemicals, machinery and instruments, plastic and linoleum products, transport equipment and rubber manufactured products. Main items that India imports from Burundi include non-electrical machinery, iron and steel.  </w:t>
      </w:r>
      <w:r>
        <w:rPr>
          <w:rStyle w:val="DefaultParagraphFont"/>
          <w:rFonts w:cs="Arial" w:ascii="Arial" w:hAnsi="Arial"/>
          <w:sz w:val="26"/>
          <w:szCs w:val="26"/>
          <w:lang w:val="en-IN"/>
        </w:rPr>
        <w:t>During the last few years, Indian companies have invested in coffee plantation, manufacture of synthetic water tanks, distilleries, computer hardware, hardware stores and paints. Bajaj and TVS have local dealers in Burundi for sale of two-wheeler motorcycles and three-wheeler auto-rickshaws. Their products are well received in Burundi.</w:t>
      </w:r>
    </w:p>
    <w:p>
      <w:pPr>
        <w:pStyle w:val="Normal"/>
        <w:jc w:val="both"/>
        <w:rPr>
          <w:rFonts w:ascii="Arial" w:hAnsi="Arial" w:cs="Arial"/>
          <w:sz w:val="26"/>
          <w:szCs w:val="26"/>
        </w:rPr>
      </w:pPr>
      <w:r>
        <w:rPr>
          <w:rFonts w:cs="Arial" w:ascii="Arial" w:hAnsi="Arial"/>
          <w:sz w:val="26"/>
          <w:szCs w:val="26"/>
        </w:rPr>
      </w:r>
    </w:p>
    <w:tbl>
      <w:tblPr>
        <w:tblW w:w="9975" w:type="dxa"/>
        <w:jc w:val="left"/>
        <w:tblInd w:w="-7" w:type="dxa"/>
        <w:tblLayout w:type="fixed"/>
        <w:tblCellMar>
          <w:top w:w="45" w:type="dxa"/>
          <w:left w:w="45" w:type="dxa"/>
          <w:bottom w:w="45" w:type="dxa"/>
          <w:right w:w="45" w:type="dxa"/>
        </w:tblCellMar>
      </w:tblPr>
      <w:tblGrid>
        <w:gridCol w:w="900"/>
        <w:gridCol w:w="2796"/>
        <w:gridCol w:w="1244"/>
        <w:gridCol w:w="1244"/>
        <w:gridCol w:w="1244"/>
        <w:gridCol w:w="1244"/>
        <w:gridCol w:w="1303"/>
      </w:tblGrid>
      <w:tr>
        <w:trPr/>
        <w:tc>
          <w:tcPr>
            <w:tcW w:w="900" w:type="dxa"/>
            <w:tcBorders>
              <w:top w:val="single" w:sz="6" w:space="0" w:color="808080"/>
              <w:left w:val="single" w:sz="6" w:space="0" w:color="808080"/>
              <w:bottom w:val="single" w:sz="2" w:space="0" w:color="808080"/>
              <w:right w:val="single" w:sz="6" w:space="0" w:color="808080"/>
            </w:tcBorders>
            <w:shd w:fill="FF9933" w:val="clear"/>
            <w:vAlign w:val="center"/>
          </w:tcPr>
          <w:p>
            <w:pPr>
              <w:pStyle w:val="TableHeading"/>
              <w:rPr>
                <w:rFonts w:ascii="Arial" w:hAnsi="Arial" w:cs="Arial"/>
                <w:color w:val="FFFF00"/>
                <w:sz w:val="26"/>
                <w:szCs w:val="26"/>
              </w:rPr>
            </w:pPr>
            <w:r>
              <w:rPr>
                <w:rFonts w:cs="Arial" w:ascii="Arial" w:hAnsi="Arial"/>
                <w:color w:val="FFFF00"/>
                <w:sz w:val="26"/>
                <w:szCs w:val="26"/>
              </w:rPr>
              <w:t>S.No.</w:t>
            </w:r>
          </w:p>
        </w:tc>
        <w:tc>
          <w:tcPr>
            <w:tcW w:w="2796" w:type="dxa"/>
            <w:tcBorders/>
            <w:shd w:fill="FF9933" w:val="clear"/>
            <w:tcMar>
              <w:top w:w="0" w:type="dxa"/>
              <w:left w:w="0" w:type="dxa"/>
              <w:bottom w:w="0" w:type="dxa"/>
              <w:right w:w="0" w:type="dxa"/>
            </w:tcMar>
            <w:vAlign w:val="center"/>
          </w:tcPr>
          <w:p>
            <w:pPr>
              <w:pStyle w:val="TableHeading"/>
              <w:jc w:val="left"/>
              <w:rPr>
                <w:rFonts w:ascii="Arial" w:hAnsi="Arial" w:cs="Arial"/>
                <w:color w:val="FFFF00"/>
                <w:sz w:val="26"/>
                <w:szCs w:val="26"/>
              </w:rPr>
            </w:pPr>
            <w:r>
              <w:rPr>
                <w:rFonts w:cs="Arial" w:ascii="Arial" w:hAnsi="Arial"/>
                <w:color w:val="FFFF00"/>
                <w:sz w:val="26"/>
                <w:szCs w:val="26"/>
              </w:rPr>
              <w:t>Year</w:t>
            </w:r>
          </w:p>
        </w:tc>
        <w:tc>
          <w:tcPr>
            <w:tcW w:w="1244" w:type="dxa"/>
            <w:tcBorders>
              <w:top w:val="single" w:sz="6" w:space="0" w:color="808080"/>
              <w:left w:val="single" w:sz="2" w:space="0" w:color="808080"/>
              <w:bottom w:val="single" w:sz="2" w:space="0" w:color="808080"/>
              <w:right w:val="single" w:sz="6" w:space="0" w:color="808080"/>
            </w:tcBorders>
            <w:shd w:fill="FF9933" w:val="clear"/>
            <w:vAlign w:val="center"/>
          </w:tcPr>
          <w:p>
            <w:pPr>
              <w:pStyle w:val="TableHeading"/>
              <w:rPr>
                <w:rFonts w:ascii="Arial" w:hAnsi="Arial" w:cs="Arial"/>
                <w:color w:val="FFFF00"/>
                <w:sz w:val="26"/>
                <w:szCs w:val="26"/>
              </w:rPr>
            </w:pPr>
            <w:r>
              <w:rPr>
                <w:rFonts w:cs="Arial" w:ascii="Arial" w:hAnsi="Arial"/>
                <w:color w:val="FFFF00"/>
                <w:sz w:val="26"/>
                <w:szCs w:val="26"/>
              </w:rPr>
              <w:t>2017-2018</w:t>
            </w:r>
          </w:p>
        </w:tc>
        <w:tc>
          <w:tcPr>
            <w:tcW w:w="1244" w:type="dxa"/>
            <w:tcBorders>
              <w:top w:val="single" w:sz="6" w:space="0" w:color="808080"/>
              <w:left w:val="single" w:sz="2" w:space="0" w:color="808080"/>
              <w:bottom w:val="single" w:sz="2" w:space="0" w:color="808080"/>
              <w:right w:val="single" w:sz="6" w:space="0" w:color="808080"/>
            </w:tcBorders>
            <w:shd w:fill="FF9933" w:val="clear"/>
            <w:vAlign w:val="center"/>
          </w:tcPr>
          <w:p>
            <w:pPr>
              <w:pStyle w:val="TableHeading"/>
              <w:rPr>
                <w:rFonts w:ascii="Arial" w:hAnsi="Arial" w:cs="Arial"/>
                <w:color w:val="FFFF00"/>
                <w:sz w:val="26"/>
                <w:szCs w:val="26"/>
              </w:rPr>
            </w:pPr>
            <w:r>
              <w:rPr>
                <w:rFonts w:cs="Arial" w:ascii="Arial" w:hAnsi="Arial"/>
                <w:color w:val="FFFF00"/>
                <w:sz w:val="26"/>
                <w:szCs w:val="26"/>
              </w:rPr>
              <w:t>2018-2019</w:t>
            </w:r>
          </w:p>
        </w:tc>
        <w:tc>
          <w:tcPr>
            <w:tcW w:w="1244" w:type="dxa"/>
            <w:tcBorders>
              <w:top w:val="single" w:sz="6" w:space="0" w:color="808080"/>
              <w:left w:val="single" w:sz="2" w:space="0" w:color="808080"/>
              <w:bottom w:val="single" w:sz="2" w:space="0" w:color="808080"/>
              <w:right w:val="single" w:sz="6" w:space="0" w:color="808080"/>
            </w:tcBorders>
            <w:shd w:fill="FF9933" w:val="clear"/>
            <w:vAlign w:val="center"/>
          </w:tcPr>
          <w:p>
            <w:pPr>
              <w:pStyle w:val="TableHeading"/>
              <w:rPr>
                <w:rFonts w:ascii="Arial" w:hAnsi="Arial" w:cs="Arial"/>
                <w:color w:val="FFFF00"/>
                <w:sz w:val="26"/>
                <w:szCs w:val="26"/>
              </w:rPr>
            </w:pPr>
            <w:r>
              <w:rPr>
                <w:rFonts w:cs="Arial" w:ascii="Arial" w:hAnsi="Arial"/>
                <w:color w:val="FFFF00"/>
                <w:sz w:val="26"/>
                <w:szCs w:val="26"/>
              </w:rPr>
              <w:t>2019-2020</w:t>
            </w:r>
          </w:p>
        </w:tc>
        <w:tc>
          <w:tcPr>
            <w:tcW w:w="1244" w:type="dxa"/>
            <w:tcBorders>
              <w:top w:val="single" w:sz="6" w:space="0" w:color="808080"/>
              <w:left w:val="single" w:sz="2" w:space="0" w:color="808080"/>
              <w:bottom w:val="single" w:sz="2" w:space="0" w:color="808080"/>
              <w:right w:val="single" w:sz="6" w:space="0" w:color="808080"/>
            </w:tcBorders>
            <w:shd w:fill="FF9933" w:val="clear"/>
            <w:vAlign w:val="center"/>
          </w:tcPr>
          <w:p>
            <w:pPr>
              <w:pStyle w:val="TableHeading"/>
              <w:rPr>
                <w:rFonts w:ascii="Arial" w:hAnsi="Arial" w:cs="Arial"/>
                <w:color w:val="FFFF00"/>
                <w:sz w:val="26"/>
                <w:szCs w:val="26"/>
              </w:rPr>
            </w:pPr>
            <w:r>
              <w:rPr>
                <w:rFonts w:cs="Arial" w:ascii="Arial" w:hAnsi="Arial"/>
                <w:color w:val="FFFF00"/>
                <w:sz w:val="26"/>
                <w:szCs w:val="26"/>
              </w:rPr>
              <w:t>2020-2021</w:t>
            </w:r>
          </w:p>
        </w:tc>
        <w:tc>
          <w:tcPr>
            <w:tcW w:w="1303" w:type="dxa"/>
            <w:tcBorders>
              <w:top w:val="single" w:sz="6" w:space="0" w:color="808080"/>
              <w:left w:val="single" w:sz="2" w:space="0" w:color="808080"/>
              <w:bottom w:val="single" w:sz="2" w:space="0" w:color="808080"/>
              <w:right w:val="single" w:sz="6" w:space="0" w:color="808080"/>
            </w:tcBorders>
            <w:shd w:fill="FF9933" w:val="clear"/>
            <w:vAlign w:val="center"/>
          </w:tcPr>
          <w:p>
            <w:pPr>
              <w:pStyle w:val="TableHeading"/>
              <w:rPr>
                <w:rFonts w:ascii="Arial" w:hAnsi="Arial" w:cs="Arial"/>
                <w:color w:val="FFFF00"/>
                <w:sz w:val="26"/>
                <w:szCs w:val="26"/>
              </w:rPr>
            </w:pPr>
            <w:r>
              <w:rPr>
                <w:rFonts w:cs="Arial" w:ascii="Arial" w:hAnsi="Arial"/>
                <w:color w:val="FFFF00"/>
                <w:sz w:val="26"/>
                <w:szCs w:val="26"/>
              </w:rPr>
              <w:t>2021-2022</w:t>
            </w:r>
          </w:p>
        </w:tc>
      </w:tr>
      <w:tr>
        <w:trPr/>
        <w:tc>
          <w:tcPr>
            <w:tcW w:w="900" w:type="dxa"/>
            <w:tcBorders>
              <w:left w:val="single" w:sz="6" w:space="0" w:color="808080"/>
              <w:bottom w:val="single" w:sz="2" w:space="0" w:color="808080"/>
              <w:right w:val="single" w:sz="6" w:space="0" w:color="808080"/>
            </w:tcBorders>
            <w:vAlign w:val="center"/>
          </w:tcPr>
          <w:p>
            <w:pPr>
              <w:pStyle w:val="TableContents"/>
              <w:numPr>
                <w:ilvl w:val="0"/>
                <w:numId w:val="4"/>
              </w:numPr>
              <w:rPr>
                <w:rFonts w:ascii="Arial" w:hAnsi="Arial" w:cs="Arial"/>
                <w:sz w:val="26"/>
                <w:szCs w:val="26"/>
              </w:rPr>
            </w:pPr>
            <w:r>
              <w:rPr>
                <w:rFonts w:cs="Arial" w:ascii="Arial" w:hAnsi="Arial"/>
                <w:sz w:val="26"/>
                <w:szCs w:val="26"/>
              </w:rPr>
            </w:r>
          </w:p>
        </w:tc>
        <w:tc>
          <w:tcPr>
            <w:tcW w:w="2796" w:type="dxa"/>
            <w:tcBorders>
              <w:left w:val="single" w:sz="2" w:space="0" w:color="808080"/>
              <w:bottom w:val="single" w:sz="2" w:space="0" w:color="808080"/>
              <w:right w:val="single" w:sz="6" w:space="0" w:color="808080"/>
            </w:tcBorders>
            <w:vAlign w:val="center"/>
          </w:tcPr>
          <w:p>
            <w:pPr>
              <w:pStyle w:val="TableContents"/>
              <w:rPr/>
            </w:pPr>
            <w:r>
              <w:rPr>
                <w:rStyle w:val="StrongEmphasis"/>
                <w:rFonts w:cs="Arial" w:ascii="Arial" w:hAnsi="Arial"/>
                <w:sz w:val="26"/>
                <w:szCs w:val="26"/>
              </w:rPr>
              <w:t>EXPORT</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38.09</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48.35</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58.47</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64.02</w:t>
            </w:r>
          </w:p>
        </w:tc>
        <w:tc>
          <w:tcPr>
            <w:tcW w:w="1303"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60.51</w:t>
            </w:r>
          </w:p>
        </w:tc>
      </w:tr>
      <w:tr>
        <w:trPr/>
        <w:tc>
          <w:tcPr>
            <w:tcW w:w="900" w:type="dxa"/>
            <w:tcBorders>
              <w:left w:val="single" w:sz="6" w:space="0" w:color="808080"/>
              <w:bottom w:val="single" w:sz="2" w:space="0" w:color="808080"/>
              <w:right w:val="single" w:sz="6" w:space="0" w:color="808080"/>
            </w:tcBorders>
            <w:vAlign w:val="center"/>
          </w:tcPr>
          <w:p>
            <w:pPr>
              <w:pStyle w:val="TableContents"/>
              <w:numPr>
                <w:ilvl w:val="0"/>
                <w:numId w:val="4"/>
              </w:numPr>
              <w:rPr>
                <w:rFonts w:ascii="Arial" w:hAnsi="Arial" w:cs="Arial"/>
                <w:sz w:val="26"/>
                <w:szCs w:val="26"/>
              </w:rPr>
            </w:pPr>
            <w:r>
              <w:rPr>
                <w:rFonts w:cs="Arial" w:ascii="Arial" w:hAnsi="Arial"/>
                <w:sz w:val="26"/>
                <w:szCs w:val="26"/>
              </w:rPr>
            </w:r>
          </w:p>
        </w:tc>
        <w:tc>
          <w:tcPr>
            <w:tcW w:w="2796" w:type="dxa"/>
            <w:tcBorders>
              <w:left w:val="single" w:sz="2" w:space="0" w:color="808080"/>
              <w:bottom w:val="single" w:sz="2" w:space="0" w:color="808080"/>
              <w:right w:val="single" w:sz="6" w:space="0" w:color="808080"/>
            </w:tcBorders>
            <w:vAlign w:val="center"/>
          </w:tcPr>
          <w:p>
            <w:pPr>
              <w:pStyle w:val="TableContents"/>
              <w:rPr>
                <w:rFonts w:ascii="Arial" w:hAnsi="Arial" w:cs="Arial"/>
                <w:sz w:val="26"/>
                <w:szCs w:val="26"/>
              </w:rPr>
            </w:pPr>
            <w:r>
              <w:rPr>
                <w:rFonts w:cs="Arial" w:ascii="Arial" w:hAnsi="Arial"/>
                <w:sz w:val="26"/>
                <w:szCs w:val="26"/>
              </w:rPr>
              <w:t>%Growth</w:t>
            </w:r>
          </w:p>
        </w:tc>
        <w:tc>
          <w:tcPr>
            <w:tcW w:w="1244" w:type="dxa"/>
            <w:tcBorders>
              <w:left w:val="single" w:sz="2" w:space="0" w:color="808080"/>
              <w:bottom w:val="single" w:sz="2" w:space="0" w:color="808080"/>
              <w:right w:val="single" w:sz="6" w:space="0" w:color="808080"/>
            </w:tcBorders>
            <w:vAlign w:val="center"/>
          </w:tcPr>
          <w:p>
            <w:pPr>
              <w:pStyle w:val="TableContents"/>
              <w:rPr>
                <w:rFonts w:ascii="Arial" w:hAnsi="Arial" w:cs="Arial"/>
                <w:sz w:val="26"/>
                <w:szCs w:val="26"/>
              </w:rPr>
            </w:pPr>
            <w:r>
              <w:rPr>
                <w:rFonts w:cs="Arial" w:ascii="Arial" w:hAnsi="Arial"/>
                <w:sz w:val="26"/>
                <w:szCs w:val="26"/>
              </w:rPr>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26.95</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20.92</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9.50</w:t>
            </w:r>
          </w:p>
        </w:tc>
        <w:tc>
          <w:tcPr>
            <w:tcW w:w="1303"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-5.49</w:t>
            </w:r>
          </w:p>
        </w:tc>
      </w:tr>
      <w:tr>
        <w:trPr/>
        <w:tc>
          <w:tcPr>
            <w:tcW w:w="900" w:type="dxa"/>
            <w:tcBorders>
              <w:left w:val="single" w:sz="6" w:space="0" w:color="808080"/>
              <w:bottom w:val="single" w:sz="2" w:space="0" w:color="808080"/>
              <w:right w:val="single" w:sz="6" w:space="0" w:color="808080"/>
            </w:tcBorders>
            <w:vAlign w:val="center"/>
          </w:tcPr>
          <w:p>
            <w:pPr>
              <w:pStyle w:val="TableContents"/>
              <w:numPr>
                <w:ilvl w:val="0"/>
                <w:numId w:val="4"/>
              </w:numPr>
              <w:rPr>
                <w:rFonts w:ascii="Arial" w:hAnsi="Arial" w:cs="Arial"/>
                <w:sz w:val="26"/>
                <w:szCs w:val="26"/>
              </w:rPr>
            </w:pPr>
            <w:r>
              <w:rPr>
                <w:rFonts w:cs="Arial" w:ascii="Arial" w:hAnsi="Arial"/>
                <w:sz w:val="26"/>
                <w:szCs w:val="26"/>
              </w:rPr>
            </w:r>
          </w:p>
        </w:tc>
        <w:tc>
          <w:tcPr>
            <w:tcW w:w="2796" w:type="dxa"/>
            <w:tcBorders>
              <w:left w:val="single" w:sz="2" w:space="0" w:color="808080"/>
              <w:bottom w:val="single" w:sz="2" w:space="0" w:color="808080"/>
              <w:right w:val="single" w:sz="6" w:space="0" w:color="808080"/>
            </w:tcBorders>
            <w:vAlign w:val="center"/>
          </w:tcPr>
          <w:p>
            <w:pPr>
              <w:pStyle w:val="TableContents"/>
              <w:rPr>
                <w:rFonts w:ascii="Arial" w:hAnsi="Arial" w:cs="Arial"/>
                <w:sz w:val="26"/>
                <w:szCs w:val="26"/>
              </w:rPr>
            </w:pPr>
            <w:r>
              <w:rPr>
                <w:rFonts w:cs="Arial" w:ascii="Arial" w:hAnsi="Arial"/>
                <w:sz w:val="26"/>
                <w:szCs w:val="26"/>
              </w:rPr>
              <w:t>%Share of India’s Export</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0.01</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0.01</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0.02</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0.02</w:t>
            </w:r>
          </w:p>
        </w:tc>
        <w:tc>
          <w:tcPr>
            <w:tcW w:w="1303"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0.01</w:t>
            </w:r>
          </w:p>
        </w:tc>
      </w:tr>
      <w:tr>
        <w:trPr/>
        <w:tc>
          <w:tcPr>
            <w:tcW w:w="900" w:type="dxa"/>
            <w:tcBorders>
              <w:left w:val="single" w:sz="6" w:space="0" w:color="808080"/>
              <w:bottom w:val="single" w:sz="2" w:space="0" w:color="808080"/>
              <w:right w:val="single" w:sz="6" w:space="0" w:color="808080"/>
            </w:tcBorders>
            <w:vAlign w:val="center"/>
          </w:tcPr>
          <w:p>
            <w:pPr>
              <w:pStyle w:val="TableContents"/>
              <w:numPr>
                <w:ilvl w:val="0"/>
                <w:numId w:val="4"/>
              </w:numPr>
              <w:rPr>
                <w:rFonts w:ascii="Arial" w:hAnsi="Arial" w:cs="Arial"/>
                <w:sz w:val="26"/>
                <w:szCs w:val="26"/>
              </w:rPr>
            </w:pPr>
            <w:r>
              <w:rPr>
                <w:rFonts w:cs="Arial" w:ascii="Arial" w:hAnsi="Arial"/>
                <w:sz w:val="26"/>
                <w:szCs w:val="26"/>
              </w:rPr>
            </w:r>
          </w:p>
        </w:tc>
        <w:tc>
          <w:tcPr>
            <w:tcW w:w="2796" w:type="dxa"/>
            <w:tcBorders>
              <w:left w:val="single" w:sz="2" w:space="0" w:color="808080"/>
              <w:bottom w:val="single" w:sz="2" w:space="0" w:color="808080"/>
              <w:right w:val="single" w:sz="6" w:space="0" w:color="808080"/>
            </w:tcBorders>
            <w:vAlign w:val="center"/>
          </w:tcPr>
          <w:p>
            <w:pPr>
              <w:pStyle w:val="TableContents"/>
              <w:rPr/>
            </w:pPr>
            <w:r>
              <w:rPr>
                <w:rStyle w:val="StrongEmphasis"/>
                <w:rFonts w:cs="Arial" w:ascii="Arial" w:hAnsi="Arial"/>
                <w:sz w:val="26"/>
                <w:szCs w:val="26"/>
              </w:rPr>
              <w:t>IMPORT</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16.53</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4.55</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3.83</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0.07</w:t>
            </w:r>
          </w:p>
        </w:tc>
        <w:tc>
          <w:tcPr>
            <w:tcW w:w="1303"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0.04</w:t>
            </w:r>
          </w:p>
        </w:tc>
      </w:tr>
      <w:tr>
        <w:trPr/>
        <w:tc>
          <w:tcPr>
            <w:tcW w:w="900" w:type="dxa"/>
            <w:tcBorders>
              <w:left w:val="single" w:sz="6" w:space="0" w:color="808080"/>
              <w:bottom w:val="single" w:sz="2" w:space="0" w:color="808080"/>
              <w:right w:val="single" w:sz="6" w:space="0" w:color="808080"/>
            </w:tcBorders>
            <w:vAlign w:val="center"/>
          </w:tcPr>
          <w:p>
            <w:pPr>
              <w:pStyle w:val="TableContents"/>
              <w:numPr>
                <w:ilvl w:val="0"/>
                <w:numId w:val="4"/>
              </w:numPr>
              <w:rPr>
                <w:rFonts w:ascii="Arial" w:hAnsi="Arial" w:cs="Arial"/>
                <w:sz w:val="26"/>
                <w:szCs w:val="26"/>
              </w:rPr>
            </w:pPr>
            <w:r>
              <w:rPr>
                <w:rFonts w:cs="Arial" w:ascii="Arial" w:hAnsi="Arial"/>
                <w:sz w:val="26"/>
                <w:szCs w:val="26"/>
              </w:rPr>
            </w:r>
          </w:p>
        </w:tc>
        <w:tc>
          <w:tcPr>
            <w:tcW w:w="2796" w:type="dxa"/>
            <w:tcBorders>
              <w:left w:val="single" w:sz="2" w:space="0" w:color="808080"/>
              <w:bottom w:val="single" w:sz="2" w:space="0" w:color="808080"/>
              <w:right w:val="single" w:sz="6" w:space="0" w:color="808080"/>
            </w:tcBorders>
            <w:vAlign w:val="center"/>
          </w:tcPr>
          <w:p>
            <w:pPr>
              <w:pStyle w:val="TableContents"/>
              <w:rPr>
                <w:rFonts w:ascii="Arial" w:hAnsi="Arial" w:cs="Arial"/>
                <w:sz w:val="26"/>
                <w:szCs w:val="26"/>
              </w:rPr>
            </w:pPr>
            <w:r>
              <w:rPr>
                <w:rFonts w:cs="Arial" w:ascii="Arial" w:hAnsi="Arial"/>
                <w:sz w:val="26"/>
                <w:szCs w:val="26"/>
              </w:rPr>
              <w:t>%Growth</w:t>
            </w:r>
          </w:p>
        </w:tc>
        <w:tc>
          <w:tcPr>
            <w:tcW w:w="1244" w:type="dxa"/>
            <w:tcBorders>
              <w:left w:val="single" w:sz="2" w:space="0" w:color="808080"/>
              <w:bottom w:val="single" w:sz="2" w:space="0" w:color="808080"/>
              <w:right w:val="single" w:sz="6" w:space="0" w:color="808080"/>
            </w:tcBorders>
            <w:vAlign w:val="center"/>
          </w:tcPr>
          <w:p>
            <w:pPr>
              <w:pStyle w:val="TableContents"/>
              <w:rPr>
                <w:rFonts w:ascii="Arial" w:hAnsi="Arial" w:cs="Arial"/>
                <w:sz w:val="26"/>
                <w:szCs w:val="26"/>
              </w:rPr>
            </w:pPr>
            <w:r>
              <w:rPr>
                <w:rFonts w:cs="Arial" w:ascii="Arial" w:hAnsi="Arial"/>
                <w:sz w:val="26"/>
                <w:szCs w:val="26"/>
              </w:rPr>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-72.47</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-15.92</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-98.18</w:t>
            </w:r>
          </w:p>
        </w:tc>
        <w:tc>
          <w:tcPr>
            <w:tcW w:w="1303"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-42.30</w:t>
            </w:r>
          </w:p>
        </w:tc>
      </w:tr>
      <w:tr>
        <w:trPr/>
        <w:tc>
          <w:tcPr>
            <w:tcW w:w="900" w:type="dxa"/>
            <w:tcBorders>
              <w:left w:val="single" w:sz="6" w:space="0" w:color="808080"/>
              <w:bottom w:val="single" w:sz="2" w:space="0" w:color="808080"/>
              <w:right w:val="single" w:sz="6" w:space="0" w:color="808080"/>
            </w:tcBorders>
            <w:vAlign w:val="center"/>
          </w:tcPr>
          <w:p>
            <w:pPr>
              <w:pStyle w:val="TableContents"/>
              <w:numPr>
                <w:ilvl w:val="0"/>
                <w:numId w:val="4"/>
              </w:numPr>
              <w:rPr>
                <w:rFonts w:ascii="Arial" w:hAnsi="Arial" w:cs="Arial"/>
                <w:sz w:val="26"/>
                <w:szCs w:val="26"/>
              </w:rPr>
            </w:pPr>
            <w:r>
              <w:rPr>
                <w:rFonts w:cs="Arial" w:ascii="Arial" w:hAnsi="Arial"/>
                <w:sz w:val="26"/>
                <w:szCs w:val="26"/>
              </w:rPr>
            </w:r>
          </w:p>
        </w:tc>
        <w:tc>
          <w:tcPr>
            <w:tcW w:w="2796" w:type="dxa"/>
            <w:tcBorders>
              <w:left w:val="single" w:sz="2" w:space="0" w:color="808080"/>
              <w:bottom w:val="single" w:sz="2" w:space="0" w:color="808080"/>
              <w:right w:val="single" w:sz="6" w:space="0" w:color="808080"/>
            </w:tcBorders>
            <w:vAlign w:val="center"/>
          </w:tcPr>
          <w:p>
            <w:pPr>
              <w:pStyle w:val="TableContents"/>
              <w:rPr>
                <w:rFonts w:ascii="Arial" w:hAnsi="Arial" w:cs="Arial"/>
                <w:sz w:val="26"/>
                <w:szCs w:val="26"/>
              </w:rPr>
            </w:pPr>
            <w:r>
              <w:rPr>
                <w:rFonts w:cs="Arial" w:ascii="Arial" w:hAnsi="Arial"/>
                <w:sz w:val="26"/>
                <w:szCs w:val="26"/>
              </w:rPr>
              <w:t>%Share</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0.00</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0.00</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0.00</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0.00</w:t>
            </w:r>
          </w:p>
        </w:tc>
        <w:tc>
          <w:tcPr>
            <w:tcW w:w="1303"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0.00</w:t>
            </w:r>
          </w:p>
        </w:tc>
      </w:tr>
      <w:tr>
        <w:trPr/>
        <w:tc>
          <w:tcPr>
            <w:tcW w:w="900" w:type="dxa"/>
            <w:tcBorders>
              <w:left w:val="single" w:sz="6" w:space="0" w:color="808080"/>
              <w:bottom w:val="single" w:sz="2" w:space="0" w:color="808080"/>
              <w:right w:val="single" w:sz="6" w:space="0" w:color="808080"/>
            </w:tcBorders>
            <w:vAlign w:val="center"/>
          </w:tcPr>
          <w:p>
            <w:pPr>
              <w:pStyle w:val="TableContents"/>
              <w:numPr>
                <w:ilvl w:val="0"/>
                <w:numId w:val="4"/>
              </w:numPr>
              <w:rPr>
                <w:rFonts w:ascii="Arial" w:hAnsi="Arial" w:cs="Arial"/>
                <w:sz w:val="26"/>
                <w:szCs w:val="26"/>
              </w:rPr>
            </w:pPr>
            <w:r>
              <w:rPr>
                <w:rFonts w:cs="Arial" w:ascii="Arial" w:hAnsi="Arial"/>
                <w:sz w:val="26"/>
                <w:szCs w:val="26"/>
              </w:rPr>
            </w:r>
          </w:p>
        </w:tc>
        <w:tc>
          <w:tcPr>
            <w:tcW w:w="2796" w:type="dxa"/>
            <w:tcBorders>
              <w:left w:val="single" w:sz="2" w:space="0" w:color="808080"/>
              <w:bottom w:val="single" w:sz="2" w:space="0" w:color="808080"/>
              <w:right w:val="single" w:sz="6" w:space="0" w:color="808080"/>
            </w:tcBorders>
            <w:vAlign w:val="center"/>
          </w:tcPr>
          <w:p>
            <w:pPr>
              <w:pStyle w:val="TableContents"/>
              <w:rPr/>
            </w:pPr>
            <w:r>
              <w:rPr>
                <w:rStyle w:val="StrongEmphasis"/>
                <w:rFonts w:cs="Arial" w:ascii="Arial" w:hAnsi="Arial"/>
                <w:sz w:val="26"/>
                <w:szCs w:val="26"/>
              </w:rPr>
              <w:t>TOTAL TRADE</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54.62</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52.90</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62.29</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64.09</w:t>
            </w:r>
          </w:p>
        </w:tc>
        <w:tc>
          <w:tcPr>
            <w:tcW w:w="1303"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60.55</w:t>
            </w:r>
          </w:p>
        </w:tc>
      </w:tr>
      <w:tr>
        <w:trPr/>
        <w:tc>
          <w:tcPr>
            <w:tcW w:w="900" w:type="dxa"/>
            <w:tcBorders>
              <w:left w:val="single" w:sz="6" w:space="0" w:color="808080"/>
              <w:bottom w:val="single" w:sz="2" w:space="0" w:color="808080"/>
              <w:right w:val="single" w:sz="6" w:space="0" w:color="808080"/>
            </w:tcBorders>
            <w:vAlign w:val="center"/>
          </w:tcPr>
          <w:p>
            <w:pPr>
              <w:pStyle w:val="TableContents"/>
              <w:numPr>
                <w:ilvl w:val="0"/>
                <w:numId w:val="4"/>
              </w:numPr>
              <w:rPr>
                <w:rFonts w:ascii="Arial" w:hAnsi="Arial" w:cs="Arial"/>
                <w:sz w:val="26"/>
                <w:szCs w:val="26"/>
              </w:rPr>
            </w:pPr>
            <w:r>
              <w:rPr>
                <w:rFonts w:cs="Arial" w:ascii="Arial" w:hAnsi="Arial"/>
                <w:sz w:val="26"/>
                <w:szCs w:val="26"/>
              </w:rPr>
            </w:r>
          </w:p>
        </w:tc>
        <w:tc>
          <w:tcPr>
            <w:tcW w:w="2796" w:type="dxa"/>
            <w:tcBorders>
              <w:left w:val="single" w:sz="2" w:space="0" w:color="808080"/>
              <w:bottom w:val="single" w:sz="2" w:space="0" w:color="808080"/>
              <w:right w:val="single" w:sz="6" w:space="0" w:color="808080"/>
            </w:tcBorders>
            <w:vAlign w:val="center"/>
          </w:tcPr>
          <w:p>
            <w:pPr>
              <w:pStyle w:val="TableContents"/>
              <w:rPr>
                <w:rFonts w:ascii="Arial" w:hAnsi="Arial" w:cs="Arial"/>
                <w:sz w:val="26"/>
                <w:szCs w:val="26"/>
              </w:rPr>
            </w:pPr>
            <w:r>
              <w:rPr>
                <w:rFonts w:cs="Arial" w:ascii="Arial" w:hAnsi="Arial"/>
                <w:sz w:val="26"/>
                <w:szCs w:val="26"/>
              </w:rPr>
              <w:t>%Growth</w:t>
            </w:r>
          </w:p>
        </w:tc>
        <w:tc>
          <w:tcPr>
            <w:tcW w:w="1244" w:type="dxa"/>
            <w:tcBorders>
              <w:left w:val="single" w:sz="2" w:space="0" w:color="808080"/>
              <w:bottom w:val="single" w:sz="2" w:space="0" w:color="808080"/>
              <w:right w:val="single" w:sz="6" w:space="0" w:color="808080"/>
            </w:tcBorders>
            <w:vAlign w:val="center"/>
          </w:tcPr>
          <w:p>
            <w:pPr>
              <w:pStyle w:val="TableContents"/>
              <w:rPr>
                <w:rFonts w:ascii="Arial" w:hAnsi="Arial" w:cs="Arial"/>
                <w:sz w:val="26"/>
                <w:szCs w:val="26"/>
              </w:rPr>
            </w:pPr>
            <w:r>
              <w:rPr>
                <w:rFonts w:cs="Arial" w:ascii="Arial" w:hAnsi="Arial"/>
                <w:sz w:val="26"/>
                <w:szCs w:val="26"/>
              </w:rPr>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-3.14</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17.75</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2.89</w:t>
            </w:r>
          </w:p>
        </w:tc>
        <w:tc>
          <w:tcPr>
            <w:tcW w:w="1303"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-5.53</w:t>
            </w:r>
          </w:p>
        </w:tc>
      </w:tr>
      <w:tr>
        <w:trPr/>
        <w:tc>
          <w:tcPr>
            <w:tcW w:w="900" w:type="dxa"/>
            <w:tcBorders>
              <w:left w:val="single" w:sz="6" w:space="0" w:color="808080"/>
              <w:bottom w:val="single" w:sz="2" w:space="0" w:color="808080"/>
              <w:right w:val="single" w:sz="6" w:space="0" w:color="808080"/>
            </w:tcBorders>
            <w:vAlign w:val="center"/>
          </w:tcPr>
          <w:p>
            <w:pPr>
              <w:pStyle w:val="TableContents"/>
              <w:numPr>
                <w:ilvl w:val="0"/>
                <w:numId w:val="4"/>
              </w:numPr>
              <w:rPr>
                <w:rFonts w:ascii="Arial" w:hAnsi="Arial" w:cs="Arial"/>
                <w:sz w:val="26"/>
                <w:szCs w:val="26"/>
              </w:rPr>
            </w:pPr>
            <w:r>
              <w:rPr>
                <w:rFonts w:cs="Arial" w:ascii="Arial" w:hAnsi="Arial"/>
                <w:sz w:val="26"/>
                <w:szCs w:val="26"/>
              </w:rPr>
            </w:r>
          </w:p>
        </w:tc>
        <w:tc>
          <w:tcPr>
            <w:tcW w:w="2796" w:type="dxa"/>
            <w:tcBorders>
              <w:left w:val="single" w:sz="2" w:space="0" w:color="808080"/>
              <w:bottom w:val="single" w:sz="2" w:space="0" w:color="808080"/>
              <w:right w:val="single" w:sz="6" w:space="0" w:color="808080"/>
            </w:tcBorders>
            <w:vAlign w:val="center"/>
          </w:tcPr>
          <w:p>
            <w:pPr>
              <w:pStyle w:val="TableContents"/>
              <w:rPr>
                <w:rFonts w:ascii="Arial" w:hAnsi="Arial" w:cs="Arial"/>
                <w:sz w:val="26"/>
                <w:szCs w:val="26"/>
              </w:rPr>
            </w:pPr>
            <w:r>
              <w:rPr>
                <w:rFonts w:cs="Arial" w:ascii="Arial" w:hAnsi="Arial"/>
                <w:sz w:val="26"/>
                <w:szCs w:val="26"/>
              </w:rPr>
              <w:t>%Share of India’s import</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0.01</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0.01</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0.01</w:t>
            </w:r>
          </w:p>
        </w:tc>
        <w:tc>
          <w:tcPr>
            <w:tcW w:w="1244"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0.01</w:t>
            </w:r>
          </w:p>
        </w:tc>
        <w:tc>
          <w:tcPr>
            <w:tcW w:w="1303" w:type="dxa"/>
            <w:tcBorders>
              <w:left w:val="single" w:sz="2" w:space="0" w:color="808080"/>
              <w:bottom w:val="single" w:sz="2"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0.01</w:t>
            </w:r>
          </w:p>
        </w:tc>
      </w:tr>
      <w:tr>
        <w:trPr/>
        <w:tc>
          <w:tcPr>
            <w:tcW w:w="900" w:type="dxa"/>
            <w:tcBorders>
              <w:left w:val="single" w:sz="6" w:space="0" w:color="808080"/>
              <w:bottom w:val="single" w:sz="6" w:space="0" w:color="808080"/>
              <w:right w:val="single" w:sz="6" w:space="0" w:color="808080"/>
            </w:tcBorders>
            <w:vAlign w:val="center"/>
          </w:tcPr>
          <w:p>
            <w:pPr>
              <w:pStyle w:val="TableContents"/>
              <w:numPr>
                <w:ilvl w:val="0"/>
                <w:numId w:val="4"/>
              </w:numPr>
              <w:rPr>
                <w:rFonts w:ascii="Arial" w:hAnsi="Arial" w:cs="Arial"/>
                <w:sz w:val="26"/>
                <w:szCs w:val="26"/>
              </w:rPr>
            </w:pPr>
            <w:r>
              <w:rPr>
                <w:rFonts w:cs="Arial" w:ascii="Arial" w:hAnsi="Arial"/>
                <w:sz w:val="26"/>
                <w:szCs w:val="26"/>
              </w:rPr>
              <w:t xml:space="preserve"> </w:t>
            </w:r>
          </w:p>
        </w:tc>
        <w:tc>
          <w:tcPr>
            <w:tcW w:w="2796" w:type="dxa"/>
            <w:tcBorders>
              <w:left w:val="single" w:sz="2" w:space="0" w:color="808080"/>
              <w:bottom w:val="single" w:sz="6" w:space="0" w:color="808080"/>
              <w:right w:val="single" w:sz="6" w:space="0" w:color="808080"/>
            </w:tcBorders>
            <w:vAlign w:val="center"/>
          </w:tcPr>
          <w:p>
            <w:pPr>
              <w:pStyle w:val="TableContents"/>
              <w:rPr/>
            </w:pPr>
            <w:r>
              <w:rPr>
                <w:rStyle w:val="StrongEmphasis"/>
                <w:rFonts w:cs="Arial" w:ascii="Arial" w:hAnsi="Arial"/>
                <w:sz w:val="26"/>
                <w:szCs w:val="26"/>
              </w:rPr>
              <w:t>TRADE BALANCE</w:t>
            </w:r>
          </w:p>
        </w:tc>
        <w:tc>
          <w:tcPr>
            <w:tcW w:w="1244" w:type="dxa"/>
            <w:tcBorders>
              <w:left w:val="single" w:sz="2" w:space="0" w:color="808080"/>
              <w:bottom w:val="single" w:sz="6"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21.56</w:t>
            </w:r>
          </w:p>
        </w:tc>
        <w:tc>
          <w:tcPr>
            <w:tcW w:w="1244" w:type="dxa"/>
            <w:tcBorders>
              <w:left w:val="single" w:sz="2" w:space="0" w:color="808080"/>
              <w:bottom w:val="single" w:sz="6"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43.80</w:t>
            </w:r>
          </w:p>
        </w:tc>
        <w:tc>
          <w:tcPr>
            <w:tcW w:w="1244" w:type="dxa"/>
            <w:tcBorders>
              <w:left w:val="single" w:sz="2" w:space="0" w:color="808080"/>
              <w:bottom w:val="single" w:sz="6"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54.64</w:t>
            </w:r>
          </w:p>
        </w:tc>
        <w:tc>
          <w:tcPr>
            <w:tcW w:w="1244" w:type="dxa"/>
            <w:tcBorders>
              <w:left w:val="single" w:sz="2" w:space="0" w:color="808080"/>
              <w:bottom w:val="single" w:sz="6"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63.95</w:t>
            </w:r>
          </w:p>
        </w:tc>
        <w:tc>
          <w:tcPr>
            <w:tcW w:w="1303" w:type="dxa"/>
            <w:tcBorders>
              <w:left w:val="single" w:sz="2" w:space="0" w:color="808080"/>
              <w:bottom w:val="single" w:sz="6" w:space="0" w:color="808080"/>
              <w:right w:val="single" w:sz="6" w:space="0" w:color="808080"/>
            </w:tcBorders>
            <w:vAlign w:val="center"/>
          </w:tcPr>
          <w:p>
            <w:pPr>
              <w:pStyle w:val="TableContents"/>
              <w:jc w:val="right"/>
              <w:rPr>
                <w:rFonts w:ascii="Arial" w:hAnsi="Arial" w:cs="Arial"/>
                <w:sz w:val="26"/>
                <w:szCs w:val="26"/>
              </w:rPr>
            </w:pPr>
            <w:r>
              <w:rPr>
                <w:rFonts w:cs="Arial" w:ascii="Arial" w:hAnsi="Arial"/>
                <w:sz w:val="26"/>
                <w:szCs w:val="26"/>
              </w:rPr>
              <w:t>60.47</w:t>
            </w:r>
          </w:p>
        </w:tc>
      </w:tr>
    </w:tbl>
    <w:p>
      <w:pPr>
        <w:pStyle w:val="Normal"/>
        <w:jc w:val="both"/>
        <w:rPr>
          <w:rFonts w:ascii="Arial" w:hAnsi="Arial" w:cs="Arial"/>
          <w:sz w:val="26"/>
          <w:szCs w:val="26"/>
        </w:rPr>
      </w:pPr>
      <w:r>
        <w:rPr>
          <w:rFonts w:cs="Arial" w:ascii="Arial" w:hAnsi="Arial"/>
          <w:sz w:val="26"/>
          <w:szCs w:val="26"/>
        </w:rPr>
      </w:r>
    </w:p>
    <w:p>
      <w:pPr>
        <w:pStyle w:val="Normal"/>
        <w:jc w:val="both"/>
        <w:rPr/>
      </w:pPr>
      <w:bookmarkStart w:id="3" w:name="page22R_mcid21"/>
      <w:bookmarkEnd w:id="3"/>
      <w:r>
        <w:rPr>
          <w:rStyle w:val="DefaultParagraphFont"/>
          <w:rFonts w:cs="Arial" w:ascii="Arial" w:hAnsi="Arial"/>
          <w:b/>
          <w:bCs/>
          <w:sz w:val="26"/>
          <w:szCs w:val="26"/>
        </w:rPr>
        <w:t>Bilateral Development Cooperation &amp; Assistance</w:t>
      </w:r>
    </w:p>
    <w:p>
      <w:pPr>
        <w:pStyle w:val="Normal"/>
        <w:jc w:val="both"/>
        <w:rPr/>
      </w:pPr>
      <w:r>
        <w:rPr/>
      </w:r>
    </w:p>
    <w:p>
      <w:pPr>
        <w:pStyle w:val="TextBody"/>
        <w:numPr>
          <w:ilvl w:val="0"/>
          <w:numId w:val="5"/>
        </w:numPr>
        <w:tabs>
          <w:tab w:val="clear" w:pos="709"/>
        </w:tabs>
        <w:ind w:left="630" w:right="0" w:hanging="630"/>
        <w:jc w:val="both"/>
        <w:rPr/>
      </w:pPr>
      <w:r>
        <w:rPr>
          <w:rStyle w:val="DefaultParagraphFont"/>
          <w:rFonts w:eastAsia="Liberation Sans" w:cs="Arial" w:ascii="Arial" w:hAnsi="Arial"/>
          <w:kern w:val="0"/>
          <w:sz w:val="26"/>
          <w:szCs w:val="26"/>
          <w:lang w:val="en-IN" w:eastAsia="en-US" w:bidi="ar-SA"/>
        </w:rPr>
        <w:t>India has offered two Lines of Credit worth USD 161.36 Million to Burundi, i) for</w:t>
        <w:br/>
        <w:t>construction of a new Parliament building and ii) two Ministerial Buildings.</w:t>
      </w:r>
      <w:r>
        <w:rPr>
          <w:rStyle w:val="DefaultParagraphFont"/>
          <w:rFonts w:eastAsia="Calibri" w:cs="Arial" w:ascii="Arial" w:hAnsi="Arial"/>
          <w:sz w:val="26"/>
          <w:szCs w:val="26"/>
        </w:rPr>
        <w:t xml:space="preserve"> LOC agreements were signed on 2</w:t>
      </w:r>
      <w:r>
        <w:rPr>
          <w:rStyle w:val="DefaultParagraphFont"/>
          <w:rFonts w:eastAsia="Calibri" w:cs="Arial" w:ascii="Arial" w:hAnsi="Arial"/>
          <w:position w:val="7"/>
          <w:sz w:val="17"/>
          <w:sz w:val="26"/>
          <w:szCs w:val="26"/>
        </w:rPr>
        <w:t>nd</w:t>
      </w:r>
      <w:r>
        <w:rPr>
          <w:rStyle w:val="DefaultParagraphFont"/>
          <w:rFonts w:eastAsia="Calibri" w:cs="Arial" w:ascii="Arial" w:hAnsi="Arial"/>
          <w:sz w:val="26"/>
          <w:szCs w:val="26"/>
        </w:rPr>
        <w:t xml:space="preserve"> July 2019 between EXIM Bank of India and Burundian side.</w:t>
      </w:r>
    </w:p>
    <w:p>
      <w:pPr>
        <w:pStyle w:val="TextBody"/>
        <w:numPr>
          <w:ilvl w:val="0"/>
          <w:numId w:val="5"/>
        </w:numPr>
        <w:tabs>
          <w:tab w:val="clear" w:pos="709"/>
        </w:tabs>
        <w:ind w:left="630" w:right="0" w:hanging="630"/>
        <w:jc w:val="both"/>
        <w:rPr/>
      </w:pPr>
      <w:r>
        <w:rPr>
          <w:rStyle w:val="DefaultParagraphFont"/>
          <w:rFonts w:cs="Arial" w:ascii="Arial" w:hAnsi="Arial"/>
          <w:sz w:val="26"/>
          <w:szCs w:val="26"/>
        </w:rPr>
        <w:t>Following the first India Africa Forum Summit (IAFS-I) in 2008, Burundi was nominated by the AU to host the India-Africa Institute of Educational Planning and Administration (IAIEPA), one of the 5 institutes offered by India at the Pan-Africa level The institute is mandated to strengthen the capacities in the region in the sector of education.</w:t>
      </w:r>
    </w:p>
    <w:p>
      <w:pPr>
        <w:pStyle w:val="TextBody"/>
        <w:numPr>
          <w:ilvl w:val="0"/>
          <w:numId w:val="5"/>
        </w:numPr>
        <w:tabs>
          <w:tab w:val="clear" w:pos="709"/>
        </w:tabs>
        <w:ind w:left="630" w:right="0" w:hanging="630"/>
        <w:jc w:val="both"/>
        <w:rPr/>
      </w:pPr>
      <w:r>
        <w:rPr>
          <w:rStyle w:val="DefaultParagraphFont"/>
          <w:rFonts w:cs="Arial" w:ascii="Arial" w:hAnsi="Arial"/>
          <w:sz w:val="26"/>
          <w:szCs w:val="26"/>
        </w:rPr>
        <w:t>Under IAFS-I, India offered eight Vocational Training Centres (VTCs); one each to the eight RECs. Burundi was nominated as one of the countries to host the VTC. The centre was inaugurated in December 2016. It imparts vocational training to people from the region to enable them to be gainfully employed or become entrepreneurs.</w:t>
      </w:r>
    </w:p>
    <w:p>
      <w:pPr>
        <w:pStyle w:val="TextBody"/>
        <w:numPr>
          <w:ilvl w:val="0"/>
          <w:numId w:val="5"/>
        </w:numPr>
        <w:tabs>
          <w:tab w:val="clear" w:pos="709"/>
        </w:tabs>
        <w:ind w:left="630" w:right="0" w:hanging="630"/>
        <w:jc w:val="both"/>
        <w:rPr/>
      </w:pPr>
      <w:r>
        <w:rPr>
          <w:rStyle w:val="DefaultParagraphFont"/>
          <w:rFonts w:cs="Arial" w:ascii="Arial" w:hAnsi="Arial"/>
          <w:sz w:val="26"/>
          <w:szCs w:val="26"/>
        </w:rPr>
        <w:t>A project to build and equip a centre for HIV/AIDS prevention, testing and treatment was completed in December 2012. The Centre provides various health-care services, covering reproductive health, sexually transmitted diseases, prenatal care and family planning.</w:t>
      </w:r>
    </w:p>
    <w:p>
      <w:pPr>
        <w:pStyle w:val="TextBody"/>
        <w:numPr>
          <w:ilvl w:val="0"/>
          <w:numId w:val="5"/>
        </w:numPr>
        <w:tabs>
          <w:tab w:val="clear" w:pos="709"/>
        </w:tabs>
        <w:ind w:left="630" w:right="0" w:hanging="630"/>
        <w:jc w:val="both"/>
        <w:rPr/>
      </w:pPr>
      <w:r>
        <w:rPr>
          <w:rStyle w:val="DefaultParagraphFont"/>
          <w:rFonts w:cs="Arial" w:ascii="Arial" w:hAnsi="Arial"/>
          <w:sz w:val="26"/>
          <w:szCs w:val="26"/>
        </w:rPr>
        <w:t>At the second India-Africa Forum Summit (IAFS-II) in Government of India</w:t>
        <w:br/>
        <w:t>announced 40 biomass gasifier systems, out of which a cluster bio-mass gasifier system is to be established in Burundi. These are expected to provide low cost sustainable electricity in villages by powering a gas engine.</w:t>
      </w:r>
    </w:p>
    <w:p>
      <w:pPr>
        <w:pStyle w:val="TextBody"/>
        <w:numPr>
          <w:ilvl w:val="0"/>
          <w:numId w:val="5"/>
        </w:numPr>
        <w:tabs>
          <w:tab w:val="clear" w:pos="709"/>
        </w:tabs>
        <w:ind w:left="630" w:right="0" w:hanging="630"/>
        <w:jc w:val="both"/>
        <w:rPr/>
      </w:pPr>
      <w:r>
        <w:rPr>
          <w:rStyle w:val="DefaultParagraphFont"/>
          <w:rFonts w:cs="Arial" w:ascii="Arial" w:hAnsi="Arial"/>
          <w:sz w:val="26"/>
          <w:szCs w:val="26"/>
        </w:rPr>
        <w:t>At IAFS-II, India also offered, among other things, eight Farm Science Centres (FSCs). FSC is an innovative institution of the Indian Council of Agriculture Research (ICAR) which has played a pivotal role in application of technology at farm levels in India since 1974. Burundi has been selected by the East African Community for hosting one such FSC.</w:t>
      </w:r>
    </w:p>
    <w:p>
      <w:pPr>
        <w:pStyle w:val="TextBody"/>
        <w:numPr>
          <w:ilvl w:val="0"/>
          <w:numId w:val="5"/>
        </w:numPr>
        <w:tabs>
          <w:tab w:val="clear" w:pos="709"/>
        </w:tabs>
        <w:ind w:left="630" w:right="0" w:hanging="630"/>
        <w:jc w:val="both"/>
        <w:rPr/>
      </w:pPr>
      <w:r>
        <w:rPr>
          <w:rStyle w:val="DefaultParagraphFont"/>
          <w:rFonts w:cs="Arial" w:ascii="Arial" w:hAnsi="Arial"/>
          <w:sz w:val="26"/>
          <w:szCs w:val="26"/>
        </w:rPr>
        <w:t>In addition to the above institutions, a tele-medicine centre and a tele-education centre were set up in Bujumbura in 2010 under the first phase of Pan-African E- Network Project. The project aims to provide quality and real-time medical care and education from India at a fraction of cost.</w:t>
      </w:r>
    </w:p>
    <w:p>
      <w:pPr>
        <w:pStyle w:val="TextBody"/>
        <w:numPr>
          <w:ilvl w:val="0"/>
          <w:numId w:val="5"/>
        </w:numPr>
        <w:tabs>
          <w:tab w:val="clear" w:pos="709"/>
        </w:tabs>
        <w:ind w:left="630" w:right="0" w:hanging="630"/>
        <w:jc w:val="both"/>
        <w:rPr/>
      </w:pPr>
      <w:r>
        <w:rPr>
          <w:rStyle w:val="DefaultParagraphFont"/>
          <w:rFonts w:cs="Arial" w:ascii="Arial" w:hAnsi="Arial"/>
          <w:sz w:val="26"/>
          <w:szCs w:val="26"/>
        </w:rPr>
        <w:t>Government of India has extended a Line of Credit of US$ 80 million for the 20MW Kabu hydro-electric project. In this regard, an agreement between the EXIM Bank of India and the Government of Burundi was signed in May, 2011.  The project is expected to be completed by 2022.</w:t>
      </w:r>
    </w:p>
    <w:p>
      <w:pPr>
        <w:pStyle w:val="Normal"/>
        <w:jc w:val="both"/>
        <w:rPr>
          <w:rFonts w:ascii="Arial" w:hAnsi="Arial" w:cs="Arial"/>
          <w:sz w:val="26"/>
          <w:szCs w:val="26"/>
        </w:rPr>
      </w:pPr>
      <w:r>
        <w:rPr>
          <w:rFonts w:cs="Arial" w:ascii="Arial" w:hAnsi="Arial"/>
          <w:sz w:val="26"/>
          <w:szCs w:val="26"/>
        </w:rPr>
      </w:r>
    </w:p>
    <w:p>
      <w:pPr>
        <w:pStyle w:val="Normal"/>
        <w:tabs>
          <w:tab w:val="clear" w:pos="709"/>
        </w:tabs>
        <w:ind w:left="630" w:right="0" w:hanging="630"/>
        <w:jc w:val="both"/>
        <w:rPr>
          <w:rFonts w:ascii="Arial" w:hAnsi="Arial" w:cs="Arial"/>
          <w:b/>
          <w:b/>
          <w:bCs/>
          <w:sz w:val="26"/>
          <w:szCs w:val="26"/>
        </w:rPr>
      </w:pPr>
      <w:r>
        <w:rPr>
          <w:rFonts w:cs="Arial" w:ascii="Arial" w:hAnsi="Arial"/>
          <w:b/>
          <w:bCs/>
          <w:sz w:val="26"/>
          <w:szCs w:val="26"/>
        </w:rPr>
      </w:r>
    </w:p>
    <w:p>
      <w:pPr>
        <w:pStyle w:val="TextBody"/>
        <w:numPr>
          <w:ilvl w:val="0"/>
          <w:numId w:val="5"/>
        </w:numPr>
        <w:tabs>
          <w:tab w:val="clear" w:pos="709"/>
        </w:tabs>
        <w:ind w:left="630" w:right="0" w:hanging="630"/>
        <w:jc w:val="both"/>
        <w:rPr/>
      </w:pPr>
      <w:r>
        <w:rPr>
          <w:rStyle w:val="DefaultParagraphFont"/>
          <w:rFonts w:eastAsia="Calibri" w:cs="Arial" w:ascii="Arial" w:hAnsi="Arial"/>
          <w:sz w:val="26"/>
          <w:szCs w:val="26"/>
        </w:rPr>
        <w:t>India</w:t>
      </w:r>
      <w:r>
        <w:rPr>
          <w:rStyle w:val="DefaultParagraphFont"/>
          <w:rFonts w:eastAsia="Calibri" w:cs="Arial" w:ascii="Arial" w:hAnsi="Arial"/>
          <w:kern w:val="0"/>
          <w:sz w:val="26"/>
          <w:szCs w:val="26"/>
          <w:lang w:val="en-IN" w:eastAsia="en-US" w:bidi="ar-SA"/>
        </w:rPr>
        <w:t xml:space="preserve"> </w:t>
      </w:r>
      <w:r>
        <w:rPr>
          <w:rStyle w:val="DefaultParagraphFont"/>
          <w:rFonts w:eastAsia="Liberation Sans" w:cs="Arial" w:ascii="Arial" w:hAnsi="Arial"/>
          <w:color w:val="000000"/>
          <w:kern w:val="0"/>
          <w:sz w:val="26"/>
          <w:szCs w:val="26"/>
          <w:lang w:val="en-IN" w:eastAsia="en-US" w:bidi="ar-SA"/>
        </w:rPr>
        <w:t>gifted medicines worth US $ 1.1 million to Burundi in September 2019.</w:t>
      </w:r>
    </w:p>
    <w:p>
      <w:pPr>
        <w:pStyle w:val="TextBody"/>
        <w:numPr>
          <w:ilvl w:val="0"/>
          <w:numId w:val="5"/>
        </w:numPr>
        <w:tabs>
          <w:tab w:val="clear" w:pos="709"/>
        </w:tabs>
        <w:ind w:left="630" w:right="0" w:hanging="630"/>
        <w:jc w:val="both"/>
        <w:rPr/>
      </w:pPr>
      <w:r>
        <w:rPr>
          <w:rStyle w:val="DefaultParagraphFont"/>
          <w:rFonts w:eastAsia="Liberation Sans" w:cs="Arial" w:ascii="Arial" w:hAnsi="Arial"/>
          <w:color w:val="000000"/>
          <w:kern w:val="0"/>
          <w:sz w:val="26"/>
          <w:szCs w:val="26"/>
          <w:lang w:val="en-IN" w:eastAsia="en-US" w:bidi="ar-SA"/>
        </w:rPr>
        <w:t>Gift of 100,000 NCERT text books was handed over to the Education Ministry of Burundi in March 2020.</w:t>
      </w:r>
    </w:p>
    <w:p>
      <w:pPr>
        <w:pStyle w:val="TextBody"/>
        <w:tabs>
          <w:tab w:val="clear" w:pos="709"/>
        </w:tabs>
        <w:ind w:left="89" w:right="0" w:firstLine="1"/>
        <w:jc w:val="both"/>
        <w:rPr>
          <w:rFonts w:ascii="Arial" w:hAnsi="Arial" w:eastAsia="Times New Roman" w:cs="Arial"/>
          <w:b/>
          <w:b/>
          <w:bCs/>
          <w:sz w:val="26"/>
          <w:szCs w:val="26"/>
        </w:rPr>
      </w:pPr>
      <w:r>
        <w:rPr>
          <w:rFonts w:eastAsia="Times New Roman" w:cs="Arial" w:ascii="Arial" w:hAnsi="Arial"/>
          <w:b/>
          <w:bCs/>
          <w:sz w:val="26"/>
          <w:szCs w:val="26"/>
        </w:rPr>
      </w:r>
    </w:p>
    <w:p>
      <w:pPr>
        <w:pStyle w:val="TextBody"/>
        <w:tabs>
          <w:tab w:val="clear" w:pos="709"/>
        </w:tabs>
        <w:ind w:left="89" w:right="0" w:firstLine="1"/>
        <w:jc w:val="both"/>
        <w:rPr>
          <w:rFonts w:ascii="Arial" w:hAnsi="Arial" w:eastAsia="Times New Roman" w:cs="Arial"/>
          <w:b/>
          <w:b/>
          <w:bCs/>
          <w:sz w:val="26"/>
          <w:szCs w:val="26"/>
        </w:rPr>
      </w:pPr>
      <w:r>
        <w:rPr>
          <w:rFonts w:eastAsia="Times New Roman" w:cs="Arial" w:ascii="Arial" w:hAnsi="Arial"/>
          <w:b/>
          <w:bCs/>
          <w:sz w:val="26"/>
          <w:szCs w:val="26"/>
        </w:rPr>
        <w:t>Indian diaspora</w:t>
      </w:r>
    </w:p>
    <w:p>
      <w:pPr>
        <w:pStyle w:val="TextBody"/>
        <w:tabs>
          <w:tab w:val="clear" w:pos="709"/>
        </w:tabs>
        <w:ind w:left="89" w:right="0" w:hanging="360"/>
        <w:jc w:val="both"/>
        <w:rPr/>
      </w:pPr>
      <w:r>
        <w:rPr>
          <w:rStyle w:val="DefaultParagraphFont"/>
          <w:rFonts w:eastAsia="Times New Roman" w:cs="Arial" w:ascii="Arial" w:hAnsi="Arial"/>
          <w:b/>
          <w:bCs/>
          <w:sz w:val="26"/>
          <w:szCs w:val="26"/>
        </w:rPr>
        <w:t xml:space="preserve">     </w:t>
      </w:r>
      <w:r>
        <w:rPr>
          <w:rStyle w:val="DefaultParagraphFont"/>
          <w:rFonts w:eastAsia="Source Han Sans CN Regular" w:cs="Arial" w:ascii="Arial" w:hAnsi="Arial"/>
          <w:sz w:val="26"/>
          <w:szCs w:val="26"/>
        </w:rPr>
        <w:t>Estimated no. of PIOs and NRIs in Burundi are 1200. Most of NRIs/PIOs are traders and businessmen and engineers/workers at the Kabu Hydro-electricity project. Their positive role in the country’s economy is recognized and appreciated both by the Government of Burundi and its citizens. Government’s attitude towards Indian diaspora is positive and friendly. During the political crisis in 2015 in Burundi, the Burundian Government ensured that no harm came to any of our citizens/ PIOs resident there.</w:t>
      </w:r>
    </w:p>
    <w:p>
      <w:pPr>
        <w:pStyle w:val="TextBody"/>
        <w:jc w:val="both"/>
        <w:rPr>
          <w:rFonts w:ascii="Arial" w:hAnsi="Arial" w:eastAsia="Times New Roman" w:cs="Arial"/>
          <w:color w:val="000000"/>
          <w:sz w:val="26"/>
          <w:szCs w:val="26"/>
        </w:rPr>
      </w:pPr>
      <w:r>
        <w:rPr>
          <w:rFonts w:eastAsia="Times New Roman" w:cs="Arial" w:ascii="Arial" w:hAnsi="Arial"/>
          <w:color w:val="000000"/>
          <w:sz w:val="26"/>
          <w:szCs w:val="26"/>
        </w:rPr>
        <w:t xml:space="preserve">                                                                 </w:t>
      </w:r>
      <w:r>
        <w:rPr>
          <w:rFonts w:eastAsia="Times New Roman" w:cs="Arial" w:ascii="Arial" w:hAnsi="Arial"/>
          <w:color w:val="000000"/>
          <w:sz w:val="26"/>
          <w:szCs w:val="26"/>
        </w:rPr>
        <w:t>*****</w:t>
      </w:r>
    </w:p>
    <w:p>
      <w:pPr>
        <w:pStyle w:val="TextBody"/>
        <w:spacing w:before="0" w:after="140"/>
        <w:jc w:val="both"/>
        <w:rPr/>
      </w:pPr>
      <w:r>
        <w:rPr>
          <w:rStyle w:val="DefaultParagraphFont"/>
          <w:rFonts w:eastAsia="Times New Roman" w:cs="Arial" w:ascii="Arial" w:hAnsi="Arial"/>
          <w:b/>
          <w:bCs/>
          <w:color w:val="000000"/>
          <w:sz w:val="26"/>
          <w:szCs w:val="26"/>
        </w:rPr>
        <w:t xml:space="preserve">November </w:t>
      </w:r>
      <w:r>
        <w:rPr>
          <w:rStyle w:val="DefaultParagraphFont"/>
          <w:rFonts w:eastAsia="Times New Roman" w:cs="Arial" w:ascii="Arial" w:hAnsi="Arial"/>
          <w:b/>
          <w:bCs/>
          <w:color w:val="000000"/>
          <w:sz w:val="26"/>
          <w:szCs w:val="26"/>
        </w:rPr>
        <w:t>2022</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auto"/>
    <w:pitch w:val="variable"/>
  </w:font>
  <w:font w:name="Arial">
    <w:charset w:val="01"/>
    <w:family w:val="swiss"/>
    <w:pitch w:val="variable"/>
  </w:font>
  <w:font w:name="Courier New">
    <w:charset w:val="01"/>
    <w:family w:val="modern"/>
    <w:pitch w:val="fixed"/>
  </w:font>
  <w:font w:name="Wingdings">
    <w:charset w:val="02"/>
    <w:family w:val="auto"/>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720" w:hanging="360"/>
      </w:pPr>
      <w:rPr>
        <w:sz w:val="24"/>
        <w:rFonts w:ascii="Arial" w:hAnsi="Arial" w:eastAsia="Times New Roman" w:cs="Aria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lvl w:ilvl="0">
      <w:start w:val="1"/>
      <w:numFmt w:val="lowerRoman"/>
      <w:lvlText w:val="%1."/>
      <w:lvlJc w:val="left"/>
      <w:pPr>
        <w:tabs>
          <w:tab w:val="num" w:pos="0"/>
        </w:tabs>
        <w:ind w:left="882" w:hanging="360"/>
      </w:pPr>
      <w:rPr>
        <w:rFonts w:ascii="Arial" w:hAnsi="Arial" w:eastAsia="Liberation Sans" w:cs="Arial"/>
      </w:rPr>
    </w:lvl>
    <w:lvl w:ilvl="1">
      <w:start w:val="1"/>
      <w:numFmt w:val="bullet"/>
      <w:lvlText w:val="◦"/>
      <w:lvlJc w:val="left"/>
      <w:pPr>
        <w:tabs>
          <w:tab w:val="num" w:pos="0"/>
        </w:tabs>
        <w:ind w:left="1242" w:hanging="360"/>
      </w:pPr>
      <w:rPr>
        <w:rFonts w:ascii="OpenSymbol" w:hAnsi="OpenSymbol" w:cs="OpenSymbol" w:hint="default"/>
      </w:rPr>
    </w:lvl>
    <w:lvl w:ilvl="2">
      <w:start w:val="1"/>
      <w:numFmt w:val="bullet"/>
      <w:lvlText w:val="▪"/>
      <w:lvlJc w:val="left"/>
      <w:pPr>
        <w:tabs>
          <w:tab w:val="num" w:pos="0"/>
        </w:tabs>
        <w:ind w:left="1602" w:hanging="360"/>
      </w:pPr>
      <w:rPr>
        <w:rFonts w:ascii="OpenSymbol" w:hAnsi="OpenSymbol" w:cs="OpenSymbol" w:hint="default"/>
      </w:rPr>
    </w:lvl>
    <w:lvl w:ilvl="3">
      <w:start w:val="1"/>
      <w:numFmt w:val="bullet"/>
      <w:lvlText w:val=""/>
      <w:lvlJc w:val="left"/>
      <w:pPr>
        <w:tabs>
          <w:tab w:val="num" w:pos="0"/>
        </w:tabs>
        <w:ind w:left="1962" w:hanging="360"/>
      </w:pPr>
      <w:rPr>
        <w:rFonts w:ascii="Symbol" w:hAnsi="Symbol" w:cs="Symbol" w:hint="default"/>
      </w:rPr>
    </w:lvl>
    <w:lvl w:ilvl="4">
      <w:start w:val="1"/>
      <w:numFmt w:val="bullet"/>
      <w:lvlText w:val="◦"/>
      <w:lvlJc w:val="left"/>
      <w:pPr>
        <w:tabs>
          <w:tab w:val="num" w:pos="0"/>
        </w:tabs>
        <w:ind w:left="2322" w:hanging="360"/>
      </w:pPr>
      <w:rPr>
        <w:rFonts w:ascii="OpenSymbol" w:hAnsi="OpenSymbol" w:cs="OpenSymbol" w:hint="default"/>
      </w:rPr>
    </w:lvl>
    <w:lvl w:ilvl="5">
      <w:start w:val="1"/>
      <w:numFmt w:val="bullet"/>
      <w:lvlText w:val="▪"/>
      <w:lvlJc w:val="left"/>
      <w:pPr>
        <w:tabs>
          <w:tab w:val="num" w:pos="0"/>
        </w:tabs>
        <w:ind w:left="2682" w:hanging="360"/>
      </w:pPr>
      <w:rPr>
        <w:rFonts w:ascii="OpenSymbol" w:hAnsi="OpenSymbol" w:cs="OpenSymbol" w:hint="default"/>
      </w:rPr>
    </w:lvl>
    <w:lvl w:ilvl="6">
      <w:start w:val="1"/>
      <w:numFmt w:val="bullet"/>
      <w:lvlText w:val=""/>
      <w:lvlJc w:val="left"/>
      <w:pPr>
        <w:tabs>
          <w:tab w:val="num" w:pos="0"/>
        </w:tabs>
        <w:ind w:left="3042" w:hanging="360"/>
      </w:pPr>
      <w:rPr>
        <w:rFonts w:ascii="Symbol" w:hAnsi="Symbol" w:cs="Symbol" w:hint="default"/>
      </w:rPr>
    </w:lvl>
    <w:lvl w:ilvl="7">
      <w:start w:val="1"/>
      <w:numFmt w:val="bullet"/>
      <w:lvlText w:val="◦"/>
      <w:lvlJc w:val="left"/>
      <w:pPr>
        <w:tabs>
          <w:tab w:val="num" w:pos="0"/>
        </w:tabs>
        <w:ind w:left="3402" w:hanging="360"/>
      </w:pPr>
      <w:rPr>
        <w:rFonts w:ascii="OpenSymbol" w:hAnsi="OpenSymbol" w:cs="OpenSymbol" w:hint="default"/>
      </w:rPr>
    </w:lvl>
    <w:lvl w:ilvl="8">
      <w:start w:val="1"/>
      <w:numFmt w:val="bullet"/>
      <w:lvlText w:val="▪"/>
      <w:lvlJc w:val="left"/>
      <w:pPr>
        <w:tabs>
          <w:tab w:val="num" w:pos="0"/>
        </w:tabs>
        <w:ind w:left="3762"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oto Sans CJK SC" w:cs="Lohit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CN" w:bidi="hi-IN"/>
    </w:rPr>
  </w:style>
  <w:style w:type="character" w:styleId="DefaultParagraphFont">
    <w:name w:val="Default Paragraph Font"/>
    <w:qFormat/>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Normaltextrun">
    <w:name w:val="normaltextrun"/>
    <w:basedOn w:val="DefaultParagraphFont"/>
    <w:qFormat/>
    <w:rPr/>
  </w:style>
  <w:style w:type="character" w:styleId="WWCharLFO1LVL1">
    <w:name w:val="WW_CharLFO1LVL1"/>
    <w:qFormat/>
    <w:rPr>
      <w:rFonts w:ascii="Arial" w:hAnsi="Arial" w:eastAsia="Times New Roman" w:cs="Arial"/>
      <w:sz w:val="24"/>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cs="Wingdings"/>
    </w:rPr>
  </w:style>
  <w:style w:type="character" w:styleId="WWCharLFO1LVL4">
    <w:name w:val="WW_CharLFO1LVL4"/>
    <w:qFormat/>
    <w:rPr>
      <w:rFonts w:ascii="Symbol" w:hAnsi="Symbol" w:cs="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cs="Wingdings"/>
    </w:rPr>
  </w:style>
  <w:style w:type="character" w:styleId="WWCharLFO1LVL7">
    <w:name w:val="WW_CharLFO1LVL7"/>
    <w:qFormat/>
    <w:rPr>
      <w:rFonts w:ascii="Symbol" w:hAnsi="Symbol" w:cs="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cs="Wingdings"/>
    </w:rPr>
  </w:style>
  <w:style w:type="character" w:styleId="WWCharLFO2LVL1">
    <w:name w:val="WW_CharLFO2LVL1"/>
    <w:qFormat/>
    <w:rPr>
      <w:rFonts w:ascii="Symbol" w:hAnsi="Symbol" w:cs="Symbol"/>
    </w:rPr>
  </w:style>
  <w:style w:type="character" w:styleId="WWCharLFO2LVL2">
    <w:name w:val="WW_CharLFO2LVL2"/>
    <w:qFormat/>
    <w:rPr>
      <w:rFonts w:ascii="OpenSymbol" w:hAnsi="OpenSymbol" w:cs="OpenSymbol"/>
    </w:rPr>
  </w:style>
  <w:style w:type="character" w:styleId="WWCharLFO2LVL3">
    <w:name w:val="WW_CharLFO2LVL3"/>
    <w:qFormat/>
    <w:rPr>
      <w:rFonts w:ascii="OpenSymbol" w:hAnsi="OpenSymbol" w:cs="OpenSymbol"/>
    </w:rPr>
  </w:style>
  <w:style w:type="character" w:styleId="WWCharLFO2LVL4">
    <w:name w:val="WW_CharLFO2LVL4"/>
    <w:qFormat/>
    <w:rPr>
      <w:rFonts w:ascii="Symbol" w:hAnsi="Symbol" w:cs="Symbol"/>
    </w:rPr>
  </w:style>
  <w:style w:type="character" w:styleId="WWCharLFO2LVL5">
    <w:name w:val="WW_CharLFO2LVL5"/>
    <w:qFormat/>
    <w:rPr>
      <w:rFonts w:ascii="OpenSymbol" w:hAnsi="OpenSymbol" w:cs="OpenSymbol"/>
    </w:rPr>
  </w:style>
  <w:style w:type="character" w:styleId="WWCharLFO2LVL6">
    <w:name w:val="WW_CharLFO2LVL6"/>
    <w:qFormat/>
    <w:rPr>
      <w:rFonts w:ascii="OpenSymbol" w:hAnsi="OpenSymbol" w:cs="OpenSymbol"/>
    </w:rPr>
  </w:style>
  <w:style w:type="character" w:styleId="WWCharLFO2LVL7">
    <w:name w:val="WW_CharLFO2LVL7"/>
    <w:qFormat/>
    <w:rPr>
      <w:rFonts w:ascii="Symbol" w:hAnsi="Symbol" w:cs="Symbol"/>
    </w:rPr>
  </w:style>
  <w:style w:type="character" w:styleId="WWCharLFO2LVL8">
    <w:name w:val="WW_CharLFO2LVL8"/>
    <w:qFormat/>
    <w:rPr>
      <w:rFonts w:ascii="OpenSymbol" w:hAnsi="OpenSymbol" w:cs="OpenSymbol"/>
    </w:rPr>
  </w:style>
  <w:style w:type="character" w:styleId="WWCharLFO2LVL9">
    <w:name w:val="WW_CharLFO2LVL9"/>
    <w:qFormat/>
    <w:rPr>
      <w:rFonts w:ascii="OpenSymbol" w:hAnsi="OpenSymbol" w:cs="OpenSymbol"/>
    </w:rPr>
  </w:style>
  <w:style w:type="character" w:styleId="WWCharLFO3LVL1">
    <w:name w:val="WW_CharLFO3LVL1"/>
    <w:qFormat/>
    <w:rPr>
      <w:rFonts w:ascii="Symbol" w:hAnsi="Symbol" w:cs="OpenSymbol"/>
      <w:sz w:val="24"/>
    </w:rPr>
  </w:style>
  <w:style w:type="character" w:styleId="WWCharLFO3LVL2">
    <w:name w:val="WW_CharLFO3LVL2"/>
    <w:qFormat/>
    <w:rPr>
      <w:rFonts w:ascii="OpenSymbol" w:hAnsi="OpenSymbol" w:cs="OpenSymbol"/>
    </w:rPr>
  </w:style>
  <w:style w:type="character" w:styleId="WWCharLFO3LVL3">
    <w:name w:val="WW_CharLFO3LVL3"/>
    <w:qFormat/>
    <w:rPr>
      <w:rFonts w:ascii="OpenSymbol" w:hAnsi="OpenSymbol" w:cs="OpenSymbol"/>
    </w:rPr>
  </w:style>
  <w:style w:type="character" w:styleId="WWCharLFO3LVL4">
    <w:name w:val="WW_CharLFO3LVL4"/>
    <w:qFormat/>
    <w:rPr>
      <w:rFonts w:ascii="Symbol" w:hAnsi="Symbol" w:cs="OpenSymbol"/>
    </w:rPr>
  </w:style>
  <w:style w:type="character" w:styleId="WWCharLFO3LVL5">
    <w:name w:val="WW_CharLFO3LVL5"/>
    <w:qFormat/>
    <w:rPr>
      <w:rFonts w:ascii="OpenSymbol" w:hAnsi="OpenSymbol" w:cs="OpenSymbol"/>
    </w:rPr>
  </w:style>
  <w:style w:type="character" w:styleId="WWCharLFO3LVL6">
    <w:name w:val="WW_CharLFO3LVL6"/>
    <w:qFormat/>
    <w:rPr>
      <w:rFonts w:ascii="OpenSymbol" w:hAnsi="OpenSymbol" w:cs="OpenSymbol"/>
    </w:rPr>
  </w:style>
  <w:style w:type="character" w:styleId="WWCharLFO3LVL7">
    <w:name w:val="WW_CharLFO3LVL7"/>
    <w:qFormat/>
    <w:rPr>
      <w:rFonts w:ascii="Symbol" w:hAnsi="Symbol" w:cs="OpenSymbol"/>
    </w:rPr>
  </w:style>
  <w:style w:type="character" w:styleId="WWCharLFO3LVL8">
    <w:name w:val="WW_CharLFO3LVL8"/>
    <w:qFormat/>
    <w:rPr>
      <w:rFonts w:ascii="OpenSymbol" w:hAnsi="OpenSymbol" w:cs="OpenSymbol"/>
    </w:rPr>
  </w:style>
  <w:style w:type="character" w:styleId="WWCharLFO3LVL9">
    <w:name w:val="WW_CharLFO3LVL9"/>
    <w:qFormat/>
    <w:rPr>
      <w:rFonts w:ascii="OpenSymbol" w:hAnsi="OpenSymbol" w:cs="OpenSymbol"/>
    </w:rPr>
  </w:style>
  <w:style w:type="character" w:styleId="WWCharLFO7LVL1">
    <w:name w:val="WW_CharLFO7LVL1"/>
    <w:qFormat/>
    <w:rPr>
      <w:rFonts w:ascii="Arial" w:hAnsi="Arial" w:eastAsia="Liberation Sans" w:cs="Arial"/>
    </w:rPr>
  </w:style>
  <w:style w:type="character" w:styleId="WWCharLFO7LVL2">
    <w:name w:val="WW_CharLFO7LVL2"/>
    <w:qFormat/>
    <w:rPr>
      <w:rFonts w:ascii="OpenSymbol" w:hAnsi="OpenSymbol" w:eastAsia="OpenSymbol" w:cs="OpenSymbol"/>
    </w:rPr>
  </w:style>
  <w:style w:type="character" w:styleId="WWCharLFO7LVL3">
    <w:name w:val="WW_CharLFO7LVL3"/>
    <w:qFormat/>
    <w:rPr>
      <w:rFonts w:ascii="OpenSymbol" w:hAnsi="OpenSymbol" w:eastAsia="OpenSymbol" w:cs="OpenSymbol"/>
    </w:rPr>
  </w:style>
  <w:style w:type="character" w:styleId="WWCharLFO7LVL4">
    <w:name w:val="WW_CharLFO7LVL4"/>
    <w:qFormat/>
    <w:rPr>
      <w:rFonts w:ascii="OpenSymbol" w:hAnsi="OpenSymbol" w:eastAsia="OpenSymbol" w:cs="OpenSymbol"/>
    </w:rPr>
  </w:style>
  <w:style w:type="character" w:styleId="WWCharLFO7LVL5">
    <w:name w:val="WW_CharLFO7LVL5"/>
    <w:qFormat/>
    <w:rPr>
      <w:rFonts w:ascii="OpenSymbol" w:hAnsi="OpenSymbol" w:eastAsia="OpenSymbol" w:cs="OpenSymbol"/>
    </w:rPr>
  </w:style>
  <w:style w:type="character" w:styleId="WWCharLFO7LVL6">
    <w:name w:val="WW_CharLFO7LVL6"/>
    <w:qFormat/>
    <w:rPr>
      <w:rFonts w:ascii="OpenSymbol" w:hAnsi="OpenSymbol" w:eastAsia="OpenSymbol" w:cs="OpenSymbol"/>
    </w:rPr>
  </w:style>
  <w:style w:type="character" w:styleId="WWCharLFO7LVL7">
    <w:name w:val="WW_CharLFO7LVL7"/>
    <w:qFormat/>
    <w:rPr>
      <w:rFonts w:ascii="OpenSymbol" w:hAnsi="OpenSymbol" w:eastAsia="OpenSymbol" w:cs="OpenSymbol"/>
    </w:rPr>
  </w:style>
  <w:style w:type="character" w:styleId="WWCharLFO7LVL8">
    <w:name w:val="WW_CharLFO7LVL8"/>
    <w:qFormat/>
    <w:rPr>
      <w:rFonts w:ascii="OpenSymbol" w:hAnsi="OpenSymbol" w:eastAsia="OpenSymbol" w:cs="OpenSymbol"/>
    </w:rPr>
  </w:style>
  <w:style w:type="character" w:styleId="WWCharLFO7LVL9">
    <w:name w:val="WW_CharLFO7LVL9"/>
    <w:qFormat/>
    <w:rPr>
      <w:rFonts w:ascii="OpenSymbol" w:hAnsi="OpenSymbol" w:eastAsia="OpenSymbol" w:cs="OpenSymbol"/>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cs="Mangal" w:ascii="Liberation Serif" w:hAnsi="Liberation Serif" w:eastAsia="Noto Sans CJK SC"/>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CN" w:bidi="hi-IN"/>
    </w:rPr>
  </w:style>
  <w:style w:type="paragraph" w:styleId="Heading">
    <w:name w:val="Heading"/>
    <w:basedOn w:val="Normal"/>
    <w:next w:val="TextBody"/>
    <w:qFormat/>
    <w:pPr>
      <w:keepNext w:val="true"/>
      <w:suppressAutoHyphens w:val="true"/>
      <w:spacing w:before="240" w:after="120"/>
    </w:pPr>
    <w:rPr>
      <w:rFonts w:ascii="Liberation Sans" w:hAnsi="Liberation Sans"/>
      <w:sz w:val="28"/>
      <w:szCs w:val="28"/>
    </w:rPr>
  </w:style>
  <w:style w:type="paragraph" w:styleId="TextBody">
    <w:name w:val="Body Text"/>
    <w:basedOn w:val="Normal"/>
    <w:pPr>
      <w:suppressAutoHyphens w:val="true"/>
      <w:spacing w:lineRule="auto" w:line="276" w:before="0" w:after="140"/>
    </w:pPr>
    <w:rPr/>
  </w:style>
  <w:style w:type="paragraph" w:styleId="List">
    <w:name w:val="List"/>
    <w:basedOn w:val="TextBody"/>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Style14">
    <w:name w:val="Style"/>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Arial" w:hAnsi="Arial" w:eastAsia="Times New Roma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bidi="ar-SA" w:val="en-US" w:eastAsia="zh-CN"/>
    </w:rPr>
  </w:style>
  <w:style w:type="paragraph" w:styleId="TableContents">
    <w:name w:val="Table Contents"/>
    <w:basedOn w:val="Normal"/>
    <w:qFormat/>
    <w:pPr>
      <w:widowControl w:val="false"/>
      <w:suppressLineNumbers/>
      <w:suppressAutoHyphens w:val="true"/>
    </w:pPr>
    <w:rPr/>
  </w:style>
  <w:style w:type="paragraph" w:styleId="TableHeading">
    <w:name w:val="Table Heading"/>
    <w:basedOn w:val="TableContents"/>
    <w:qFormat/>
    <w:pPr>
      <w:suppressAutoHyphens w:val="true"/>
      <w:jc w:val="center"/>
    </w:pPr>
    <w:rPr>
      <w:b/>
      <w:bCs/>
    </w:rPr>
  </w:style>
  <w:style w:type="paragraph" w:styleId="ListParagraph">
    <w:name w:val="List Paragraph"/>
    <w:basedOn w:val="Normal"/>
    <w:qFormat/>
    <w:pPr>
      <w:tabs>
        <w:tab w:val="clear" w:pos="709"/>
      </w:tabs>
      <w:suppressAutoHyphens w:val="true"/>
      <w:spacing w:before="0" w:after="160"/>
      <w:ind w:left="720" w:right="0" w:hanging="0"/>
    </w:pPr>
    <w:rPr/>
  </w:style>
  <w:style w:type="paragraph" w:styleId="NormalWeb">
    <w:name w:val="Normal (Web)"/>
    <w:basedOn w:val="Normal"/>
    <w:qFormat/>
    <w:pPr>
      <w:suppressAutoHyphens w:val="true"/>
      <w:spacing w:before="280" w:after="280"/>
    </w:pPr>
    <w:rPr>
      <w:rFonts w:ascii="Times New Roman" w:hAnsi="Times New Roman" w:eastAsia="Times New Roman"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LibreOffice/7.2.7.2$Linux_X86_64 LibreOffice_project/20$Build-2</Application>
  <AppVersion>15.0000</AppVersion>
  <Pages>4</Pages>
  <Words>1063</Words>
  <Characters>5728</Characters>
  <CharactersWithSpaces>6740</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2022-08-04T14:16:00Z</dcterms:created>
  <dc:creator>User6</dc:creator>
  <dc:description/>
  <dc:language>en-US</dc:language>
  <cp:lastModifiedBy/>
  <dcterms:modified xsi:type="dcterms:W3CDTF">2022-11-23T11:02:29Z</dcterms:modified>
  <cp:revision>9</cp:revision>
  <dc:subject/>
  <dc:title/>
</cp:coreProperties>
</file>