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9B6700" w:rsidTr="009B6700">
        <w:trPr>
          <w:trHeight w:val="1579"/>
        </w:trPr>
        <w:tc>
          <w:tcPr>
            <w:tcW w:w="3390" w:type="dxa"/>
          </w:tcPr>
          <w:p w:rsidR="009B6700" w:rsidRPr="00666FC5" w:rsidRDefault="009B6700" w:rsidP="009B670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1AF7A7F4" wp14:editId="29F3067F">
                  <wp:extent cx="773891" cy="744082"/>
                  <wp:effectExtent l="114300" t="114300" r="121920" b="11366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91" cy="744082"/>
                          </a:xfrm>
                          <a:prstGeom prst="rect">
                            <a:avLst/>
                          </a:prstGeom>
                          <a:effectLst>
                            <a:glow rad="101600">
                              <a:schemeClr val="bg1">
                                <a:alpha val="40000"/>
                              </a:schemeClr>
                            </a:glow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9B6700" w:rsidRDefault="009B6700" w:rsidP="009B670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noProof/>
                <w:lang w:bidi="hi-IN"/>
              </w:rPr>
              <w:drawing>
                <wp:inline distT="0" distB="0" distL="0" distR="0" wp14:anchorId="6B4CFB38" wp14:editId="034E7F52">
                  <wp:extent cx="691515" cy="835025"/>
                  <wp:effectExtent l="0" t="0" r="0" b="3175"/>
                  <wp:docPr id="1" name="Picture 1" descr="C:\Users\User\AppData\Local\Microsoft\Windows\Temporary Internet Files\Content.Word\ICC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CC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9B6700" w:rsidRPr="00666FC5" w:rsidRDefault="009B6700" w:rsidP="009B6700">
            <w:pPr>
              <w:jc w:val="center"/>
            </w:pPr>
            <w:r w:rsidRPr="00666FC5">
              <w:rPr>
                <w:noProof/>
                <w:lang w:bidi="hi-IN"/>
              </w:rPr>
              <w:drawing>
                <wp:inline distT="0" distB="0" distL="0" distR="0" wp14:anchorId="75771685" wp14:editId="74A7F330">
                  <wp:extent cx="591354" cy="744083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54" cy="74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700" w:rsidRDefault="009B6700" w:rsidP="009B6700">
      <w:pPr>
        <w:jc w:val="center"/>
        <w:rPr>
          <w:b/>
          <w:bCs/>
          <w:i/>
          <w:iCs/>
          <w:u w:val="single"/>
        </w:rPr>
      </w:pPr>
      <w:r w:rsidRPr="00666FC5">
        <w:rPr>
          <w:noProof/>
          <w:lang w:bidi="hi-IN"/>
        </w:rPr>
        <w:drawing>
          <wp:inline distT="0" distB="0" distL="0" distR="0" wp14:anchorId="7BD0C893" wp14:editId="13ABB11B">
            <wp:extent cx="1232452" cy="870116"/>
            <wp:effectExtent l="0" t="0" r="6350" b="635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34" cy="871021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chemeClr val="bg2"/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8F5" w:rsidRPr="009B6700" w:rsidRDefault="007928F5" w:rsidP="007928F5">
      <w:pPr>
        <w:spacing w:after="0" w:line="240" w:lineRule="auto"/>
        <w:jc w:val="center"/>
        <w:rPr>
          <w:sz w:val="24"/>
          <w:szCs w:val="24"/>
        </w:rPr>
      </w:pPr>
      <w:r w:rsidRPr="009B6700">
        <w:rPr>
          <w:sz w:val="24"/>
          <w:szCs w:val="24"/>
        </w:rPr>
        <w:t>Embassy of India</w:t>
      </w:r>
    </w:p>
    <w:p w:rsidR="007928F5" w:rsidRPr="009B6700" w:rsidRDefault="007928F5" w:rsidP="007928F5">
      <w:pPr>
        <w:spacing w:after="0" w:line="240" w:lineRule="auto"/>
        <w:jc w:val="center"/>
        <w:rPr>
          <w:sz w:val="24"/>
          <w:szCs w:val="24"/>
        </w:rPr>
      </w:pPr>
      <w:r w:rsidRPr="009B6700">
        <w:rPr>
          <w:sz w:val="24"/>
          <w:szCs w:val="24"/>
        </w:rPr>
        <w:t>Ashgabat</w:t>
      </w:r>
    </w:p>
    <w:p w:rsidR="009362F3" w:rsidRPr="009B6700" w:rsidRDefault="007928F5" w:rsidP="009362F3">
      <w:pPr>
        <w:jc w:val="center"/>
        <w:rPr>
          <w:sz w:val="24"/>
          <w:szCs w:val="24"/>
        </w:rPr>
      </w:pPr>
      <w:r w:rsidRPr="009B6700">
        <w:rPr>
          <w:sz w:val="24"/>
          <w:szCs w:val="24"/>
        </w:rPr>
        <w:t xml:space="preserve">Celebration of </w:t>
      </w:r>
      <w:r w:rsidR="009362F3" w:rsidRPr="009B6700">
        <w:rPr>
          <w:sz w:val="24"/>
          <w:szCs w:val="24"/>
        </w:rPr>
        <w:t>“</w:t>
      </w:r>
      <w:r w:rsidR="009362F3" w:rsidRPr="009B6700">
        <w:rPr>
          <w:b/>
          <w:bCs/>
          <w:sz w:val="24"/>
          <w:szCs w:val="24"/>
        </w:rPr>
        <w:t>Indian Cultural Week</w:t>
      </w:r>
      <w:r w:rsidR="004501FD" w:rsidRPr="009B6700">
        <w:rPr>
          <w:sz w:val="24"/>
          <w:szCs w:val="24"/>
        </w:rPr>
        <w:t>” to</w:t>
      </w:r>
      <w:r w:rsidR="009362F3" w:rsidRPr="009B6700">
        <w:rPr>
          <w:sz w:val="24"/>
          <w:szCs w:val="24"/>
        </w:rPr>
        <w:t xml:space="preserve"> commemorate 25</w:t>
      </w:r>
      <w:r w:rsidRPr="009B6700">
        <w:rPr>
          <w:sz w:val="24"/>
          <w:szCs w:val="24"/>
          <w:vertAlign w:val="superscript"/>
        </w:rPr>
        <w:t>th</w:t>
      </w:r>
      <w:r w:rsidRPr="009B6700">
        <w:rPr>
          <w:sz w:val="24"/>
          <w:szCs w:val="24"/>
        </w:rPr>
        <w:t xml:space="preserve"> Anniversary of</w:t>
      </w:r>
      <w:r w:rsidR="009362F3" w:rsidRPr="009B6700">
        <w:rPr>
          <w:sz w:val="24"/>
          <w:szCs w:val="24"/>
        </w:rPr>
        <w:t xml:space="preserve"> Diplomatic Relations between India and Turkmenistan</w:t>
      </w:r>
    </w:p>
    <w:p w:rsidR="004501FD" w:rsidRDefault="009362F3" w:rsidP="009362F3">
      <w:pPr>
        <w:ind w:firstLine="720"/>
        <w:jc w:val="both"/>
        <w:rPr>
          <w:sz w:val="24"/>
          <w:szCs w:val="24"/>
        </w:rPr>
      </w:pPr>
      <w:r w:rsidRPr="009B6700">
        <w:rPr>
          <w:sz w:val="24"/>
          <w:szCs w:val="24"/>
        </w:rPr>
        <w:t>Thursday, April 20, 2017 marked the 25</w:t>
      </w:r>
      <w:r w:rsidR="007928F5" w:rsidRPr="009B6700">
        <w:rPr>
          <w:sz w:val="24"/>
          <w:szCs w:val="24"/>
          <w:vertAlign w:val="superscript"/>
        </w:rPr>
        <w:t>th</w:t>
      </w:r>
      <w:r w:rsidR="007928F5" w:rsidRPr="009B6700">
        <w:rPr>
          <w:sz w:val="24"/>
          <w:szCs w:val="24"/>
        </w:rPr>
        <w:t xml:space="preserve"> A</w:t>
      </w:r>
      <w:r w:rsidRPr="009B6700">
        <w:rPr>
          <w:sz w:val="24"/>
          <w:szCs w:val="24"/>
        </w:rPr>
        <w:t xml:space="preserve">nniversary of the Diplomatic Relation between India and Turkmenistan. To mark the occasion Embassy of India in Ashgabat, in association with Ministry of </w:t>
      </w:r>
      <w:r w:rsidR="004501FD" w:rsidRPr="009B6700">
        <w:rPr>
          <w:sz w:val="24"/>
          <w:szCs w:val="24"/>
        </w:rPr>
        <w:t>Culture, Government</w:t>
      </w:r>
      <w:r w:rsidRPr="009B6700">
        <w:rPr>
          <w:sz w:val="24"/>
          <w:szCs w:val="24"/>
        </w:rPr>
        <w:t xml:space="preserve"> of</w:t>
      </w:r>
      <w:r w:rsidR="009B75FF" w:rsidRPr="009B6700">
        <w:rPr>
          <w:sz w:val="24"/>
          <w:szCs w:val="24"/>
        </w:rPr>
        <w:t xml:space="preserve"> Turkmenistan, Indian Council for</w:t>
      </w:r>
      <w:r w:rsidRPr="009B6700">
        <w:rPr>
          <w:sz w:val="24"/>
          <w:szCs w:val="24"/>
        </w:rPr>
        <w:t xml:space="preserve"> Cultural Relations</w:t>
      </w:r>
      <w:r w:rsidR="007928F5" w:rsidRPr="009B6700">
        <w:rPr>
          <w:sz w:val="24"/>
          <w:szCs w:val="24"/>
        </w:rPr>
        <w:t xml:space="preserve"> (ICCR)</w:t>
      </w:r>
      <w:proofErr w:type="gramStart"/>
      <w:r w:rsidR="007928F5" w:rsidRPr="009B6700">
        <w:rPr>
          <w:sz w:val="24"/>
          <w:szCs w:val="24"/>
        </w:rPr>
        <w:t xml:space="preserve">, </w:t>
      </w:r>
      <w:r w:rsidRPr="009B6700">
        <w:rPr>
          <w:sz w:val="24"/>
          <w:szCs w:val="24"/>
        </w:rPr>
        <w:t xml:space="preserve"> India</w:t>
      </w:r>
      <w:proofErr w:type="gramEnd"/>
      <w:r w:rsidRPr="009B6700">
        <w:rPr>
          <w:sz w:val="24"/>
          <w:szCs w:val="24"/>
        </w:rPr>
        <w:t xml:space="preserve"> Tourism Office</w:t>
      </w:r>
      <w:r w:rsidR="007928F5" w:rsidRPr="009B6700">
        <w:rPr>
          <w:sz w:val="24"/>
          <w:szCs w:val="24"/>
        </w:rPr>
        <w:t>,</w:t>
      </w:r>
      <w:r w:rsidRPr="009B6700">
        <w:rPr>
          <w:sz w:val="24"/>
          <w:szCs w:val="24"/>
        </w:rPr>
        <w:t xml:space="preserve"> </w:t>
      </w:r>
      <w:r w:rsidR="004501FD" w:rsidRPr="009B6700">
        <w:rPr>
          <w:sz w:val="24"/>
          <w:szCs w:val="24"/>
        </w:rPr>
        <w:t>Frankfurt and Ministry of Tourism, Government of India, announces</w:t>
      </w:r>
      <w:r w:rsidRPr="009B6700">
        <w:rPr>
          <w:sz w:val="24"/>
          <w:szCs w:val="24"/>
        </w:rPr>
        <w:t xml:space="preserve"> the </w:t>
      </w:r>
      <w:r w:rsidR="004501FD" w:rsidRPr="009B6700">
        <w:rPr>
          <w:sz w:val="24"/>
          <w:szCs w:val="24"/>
        </w:rPr>
        <w:t xml:space="preserve">organization of </w:t>
      </w:r>
      <w:r w:rsidRPr="009B6700">
        <w:rPr>
          <w:sz w:val="24"/>
          <w:szCs w:val="24"/>
        </w:rPr>
        <w:t xml:space="preserve">“Indian Cultural </w:t>
      </w:r>
      <w:r w:rsidR="007928F5" w:rsidRPr="009B6700">
        <w:rPr>
          <w:sz w:val="24"/>
          <w:szCs w:val="24"/>
        </w:rPr>
        <w:t>Week” from</w:t>
      </w:r>
      <w:r w:rsidR="004501FD" w:rsidRPr="009B6700">
        <w:rPr>
          <w:sz w:val="24"/>
          <w:szCs w:val="24"/>
        </w:rPr>
        <w:t xml:space="preserve"> 16</w:t>
      </w:r>
      <w:r w:rsidR="004501FD" w:rsidRPr="009B6700">
        <w:rPr>
          <w:sz w:val="24"/>
          <w:szCs w:val="24"/>
          <w:vertAlign w:val="superscript"/>
        </w:rPr>
        <w:t>th</w:t>
      </w:r>
      <w:r w:rsidR="004501FD" w:rsidRPr="009B6700">
        <w:rPr>
          <w:sz w:val="24"/>
          <w:szCs w:val="24"/>
        </w:rPr>
        <w:t xml:space="preserve"> </w:t>
      </w:r>
      <w:r w:rsidR="004501FD">
        <w:rPr>
          <w:sz w:val="24"/>
          <w:szCs w:val="24"/>
        </w:rPr>
        <w:t>May, 2017 to 23</w:t>
      </w:r>
      <w:r w:rsidR="004501FD" w:rsidRPr="004501FD">
        <w:rPr>
          <w:sz w:val="24"/>
          <w:szCs w:val="24"/>
          <w:vertAlign w:val="superscript"/>
        </w:rPr>
        <w:t>rd</w:t>
      </w:r>
      <w:r w:rsidR="004501FD">
        <w:rPr>
          <w:sz w:val="24"/>
          <w:szCs w:val="24"/>
        </w:rPr>
        <w:t xml:space="preserve"> May, 2017. </w:t>
      </w:r>
    </w:p>
    <w:p w:rsidR="009362F3" w:rsidRPr="009362F3" w:rsidRDefault="009362F3" w:rsidP="009362F3">
      <w:pPr>
        <w:ind w:firstLine="720"/>
        <w:jc w:val="both"/>
        <w:rPr>
          <w:sz w:val="24"/>
          <w:szCs w:val="24"/>
        </w:rPr>
      </w:pPr>
      <w:r w:rsidRPr="009362F3">
        <w:rPr>
          <w:sz w:val="24"/>
          <w:szCs w:val="24"/>
        </w:rPr>
        <w:t xml:space="preserve">The details of the programmes are as </w:t>
      </w:r>
      <w:r w:rsidR="007928F5">
        <w:rPr>
          <w:sz w:val="24"/>
          <w:szCs w:val="24"/>
        </w:rPr>
        <w:t>follows</w:t>
      </w:r>
      <w:r w:rsidRPr="009362F3">
        <w:rPr>
          <w:sz w:val="24"/>
          <w:szCs w:val="24"/>
        </w:rPr>
        <w:t xml:space="preserve">: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3118"/>
      </w:tblGrid>
      <w:tr w:rsidR="009362F3" w:rsidRPr="009362F3" w:rsidTr="00CA032A">
        <w:tc>
          <w:tcPr>
            <w:tcW w:w="2093" w:type="dxa"/>
          </w:tcPr>
          <w:p w:rsidR="009362F3" w:rsidRPr="009362F3" w:rsidRDefault="009362F3" w:rsidP="00936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35" w:type="dxa"/>
          </w:tcPr>
          <w:p w:rsidR="009362F3" w:rsidRPr="009362F3" w:rsidRDefault="009362F3" w:rsidP="00936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2410" w:type="dxa"/>
          </w:tcPr>
          <w:p w:rsidR="009362F3" w:rsidRPr="009362F3" w:rsidRDefault="009362F3" w:rsidP="00936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</w:t>
            </w:r>
          </w:p>
        </w:tc>
        <w:tc>
          <w:tcPr>
            <w:tcW w:w="3118" w:type="dxa"/>
          </w:tcPr>
          <w:p w:rsidR="009362F3" w:rsidRPr="009362F3" w:rsidRDefault="009362F3" w:rsidP="00936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Associates</w:t>
            </w:r>
          </w:p>
        </w:tc>
      </w:tr>
      <w:tr w:rsidR="009362F3" w:rsidRPr="009362F3" w:rsidTr="00CA032A">
        <w:tc>
          <w:tcPr>
            <w:tcW w:w="2093" w:type="dxa"/>
          </w:tcPr>
          <w:p w:rsidR="009362F3" w:rsidRPr="009362F3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16-19th May, 2017</w:t>
            </w:r>
          </w:p>
        </w:tc>
        <w:tc>
          <w:tcPr>
            <w:tcW w:w="2835" w:type="dxa"/>
          </w:tcPr>
          <w:p w:rsidR="009362F3" w:rsidRDefault="009362F3" w:rsidP="00936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Exhibition titled </w:t>
            </w:r>
            <w:r w:rsidR="007928F5">
              <w:rPr>
                <w:sz w:val="24"/>
                <w:szCs w:val="24"/>
              </w:rPr>
              <w:t>“</w:t>
            </w:r>
            <w:r w:rsidRPr="009362F3">
              <w:rPr>
                <w:sz w:val="24"/>
                <w:szCs w:val="24"/>
              </w:rPr>
              <w:t>Vastram  Splendid World of Indian Textiles</w:t>
            </w:r>
            <w:r>
              <w:rPr>
                <w:sz w:val="24"/>
                <w:szCs w:val="24"/>
              </w:rPr>
              <w:t>”</w:t>
            </w:r>
            <w:r w:rsidRPr="009362F3">
              <w:rPr>
                <w:sz w:val="24"/>
                <w:szCs w:val="24"/>
              </w:rPr>
              <w:t xml:space="preserve">, </w:t>
            </w:r>
          </w:p>
          <w:p w:rsidR="006A71CD" w:rsidRPr="009362F3" w:rsidRDefault="004501FD" w:rsidP="00936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Inauguration</w:t>
            </w:r>
            <w:r w:rsidR="006A71CD">
              <w:rPr>
                <w:sz w:val="24"/>
                <w:szCs w:val="24"/>
              </w:rPr>
              <w:t xml:space="preserve"> on 16.05.17 (1000 </w:t>
            </w:r>
            <w:r>
              <w:rPr>
                <w:sz w:val="24"/>
                <w:szCs w:val="24"/>
              </w:rPr>
              <w:t>hrs.</w:t>
            </w:r>
            <w:r w:rsidR="006A71CD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362F3" w:rsidRPr="009362F3" w:rsidRDefault="009362F3" w:rsidP="009362F3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Museum of Fine Arts, Ashgabat-</w:t>
            </w:r>
            <w:r w:rsidRPr="004501FD">
              <w:rPr>
                <w:b/>
                <w:bCs/>
                <w:sz w:val="24"/>
                <w:szCs w:val="24"/>
              </w:rPr>
              <w:t>Entry Free</w:t>
            </w:r>
          </w:p>
        </w:tc>
        <w:tc>
          <w:tcPr>
            <w:tcW w:w="3118" w:type="dxa"/>
          </w:tcPr>
          <w:p w:rsidR="007928F5" w:rsidRPr="007928F5" w:rsidRDefault="009362F3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 xml:space="preserve">Ministry of Culture, </w:t>
            </w:r>
            <w:proofErr w:type="spellStart"/>
            <w:r w:rsidRPr="007928F5">
              <w:rPr>
                <w:sz w:val="20"/>
                <w:szCs w:val="20"/>
              </w:rPr>
              <w:t>Go</w:t>
            </w:r>
            <w:r w:rsidR="007928F5" w:rsidRPr="007928F5">
              <w:rPr>
                <w:sz w:val="20"/>
                <w:szCs w:val="20"/>
              </w:rPr>
              <w:t>vt</w:t>
            </w:r>
            <w:proofErr w:type="spellEnd"/>
            <w:r w:rsidRPr="007928F5">
              <w:rPr>
                <w:sz w:val="20"/>
                <w:szCs w:val="20"/>
              </w:rPr>
              <w:t xml:space="preserve"> of Turkmenistan, </w:t>
            </w:r>
          </w:p>
          <w:p w:rsidR="009362F3" w:rsidRPr="007928F5" w:rsidRDefault="009B75FF" w:rsidP="007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Council for</w:t>
            </w:r>
            <w:r w:rsidR="009362F3" w:rsidRPr="007928F5">
              <w:rPr>
                <w:sz w:val="20"/>
                <w:szCs w:val="20"/>
              </w:rPr>
              <w:t xml:space="preserve"> Cultural Relations </w:t>
            </w:r>
          </w:p>
          <w:p w:rsidR="007928F5" w:rsidRPr="007928F5" w:rsidRDefault="007928F5" w:rsidP="007928F5">
            <w:pPr>
              <w:rPr>
                <w:sz w:val="20"/>
                <w:szCs w:val="20"/>
              </w:rPr>
            </w:pPr>
          </w:p>
        </w:tc>
      </w:tr>
      <w:tr w:rsidR="009362F3" w:rsidRPr="009362F3" w:rsidTr="00CA032A">
        <w:tc>
          <w:tcPr>
            <w:tcW w:w="2093" w:type="dxa"/>
          </w:tcPr>
          <w:p w:rsidR="007928F5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17</w:t>
            </w:r>
            <w:r w:rsidRPr="009362F3">
              <w:rPr>
                <w:sz w:val="24"/>
                <w:szCs w:val="24"/>
                <w:vertAlign w:val="superscript"/>
              </w:rPr>
              <w:t>th</w:t>
            </w:r>
            <w:r w:rsidRPr="009362F3">
              <w:rPr>
                <w:sz w:val="24"/>
                <w:szCs w:val="24"/>
              </w:rPr>
              <w:t xml:space="preserve"> May, 2017 </w:t>
            </w:r>
          </w:p>
          <w:p w:rsidR="009362F3" w:rsidRPr="009362F3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1830 hrs. </w:t>
            </w:r>
          </w:p>
        </w:tc>
        <w:tc>
          <w:tcPr>
            <w:tcW w:w="2835" w:type="dxa"/>
          </w:tcPr>
          <w:p w:rsidR="009362F3" w:rsidRPr="009362F3" w:rsidRDefault="009362F3" w:rsidP="00D907A7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Cultural performance by Bollywood group</w:t>
            </w:r>
          </w:p>
        </w:tc>
        <w:tc>
          <w:tcPr>
            <w:tcW w:w="2410" w:type="dxa"/>
          </w:tcPr>
          <w:p w:rsidR="009362F3" w:rsidRPr="009362F3" w:rsidRDefault="009362F3" w:rsidP="009362F3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Turkmenistan </w:t>
            </w:r>
            <w:r w:rsidR="004501FD">
              <w:rPr>
                <w:sz w:val="24"/>
                <w:szCs w:val="24"/>
              </w:rPr>
              <w:t xml:space="preserve">Kino </w:t>
            </w:r>
            <w:r w:rsidR="004501FD" w:rsidRPr="009362F3">
              <w:rPr>
                <w:sz w:val="24"/>
                <w:szCs w:val="24"/>
              </w:rPr>
              <w:t>Theatre</w:t>
            </w:r>
            <w:r w:rsidRPr="009362F3">
              <w:rPr>
                <w:sz w:val="24"/>
                <w:szCs w:val="24"/>
              </w:rPr>
              <w:t>, Ashgabat</w:t>
            </w:r>
            <w:r w:rsidRPr="004501FD">
              <w:rPr>
                <w:b/>
                <w:bCs/>
                <w:sz w:val="24"/>
                <w:szCs w:val="24"/>
              </w:rPr>
              <w:t>-Entry Free</w:t>
            </w:r>
            <w:r w:rsidRPr="00936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928F5" w:rsidRPr="007928F5" w:rsidRDefault="007928F5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>Ministry of Culture,</w:t>
            </w:r>
          </w:p>
          <w:p w:rsidR="007928F5" w:rsidRPr="007928F5" w:rsidRDefault="007928F5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 xml:space="preserve"> </w:t>
            </w:r>
            <w:proofErr w:type="spellStart"/>
            <w:r w:rsidRPr="007928F5">
              <w:rPr>
                <w:sz w:val="20"/>
                <w:szCs w:val="20"/>
              </w:rPr>
              <w:t>Govt</w:t>
            </w:r>
            <w:proofErr w:type="spellEnd"/>
            <w:r w:rsidRPr="007928F5">
              <w:rPr>
                <w:sz w:val="20"/>
                <w:szCs w:val="20"/>
              </w:rPr>
              <w:t xml:space="preserve"> of Turkmenistan, </w:t>
            </w:r>
          </w:p>
          <w:p w:rsidR="007928F5" w:rsidRPr="007928F5" w:rsidRDefault="009B75FF" w:rsidP="007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Council for</w:t>
            </w:r>
            <w:r w:rsidR="007928F5" w:rsidRPr="007928F5">
              <w:rPr>
                <w:sz w:val="20"/>
                <w:szCs w:val="20"/>
              </w:rPr>
              <w:t xml:space="preserve"> Cultural Relations </w:t>
            </w:r>
          </w:p>
        </w:tc>
      </w:tr>
      <w:tr w:rsidR="009362F3" w:rsidRPr="009362F3" w:rsidTr="00CA032A">
        <w:tc>
          <w:tcPr>
            <w:tcW w:w="2093" w:type="dxa"/>
          </w:tcPr>
          <w:p w:rsidR="007928F5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18</w:t>
            </w:r>
            <w:r w:rsidRPr="009362F3">
              <w:rPr>
                <w:sz w:val="24"/>
                <w:szCs w:val="24"/>
                <w:vertAlign w:val="superscript"/>
              </w:rPr>
              <w:t>th</w:t>
            </w:r>
            <w:r w:rsidRPr="009362F3">
              <w:rPr>
                <w:sz w:val="24"/>
                <w:szCs w:val="24"/>
              </w:rPr>
              <w:t xml:space="preserve"> May, 2017 </w:t>
            </w:r>
          </w:p>
          <w:p w:rsidR="009362F3" w:rsidRPr="009362F3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1830 </w:t>
            </w:r>
            <w:r w:rsidR="004501FD" w:rsidRPr="009362F3">
              <w:rPr>
                <w:sz w:val="24"/>
                <w:szCs w:val="24"/>
              </w:rPr>
              <w:t>hrs.</w:t>
            </w:r>
          </w:p>
        </w:tc>
        <w:tc>
          <w:tcPr>
            <w:tcW w:w="2835" w:type="dxa"/>
          </w:tcPr>
          <w:p w:rsidR="009362F3" w:rsidRPr="009362F3" w:rsidRDefault="009362F3" w:rsidP="00D907A7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Cultural performance by Bollywood group.</w:t>
            </w:r>
          </w:p>
        </w:tc>
        <w:tc>
          <w:tcPr>
            <w:tcW w:w="2410" w:type="dxa"/>
          </w:tcPr>
          <w:p w:rsidR="009362F3" w:rsidRPr="009362F3" w:rsidRDefault="009362F3" w:rsidP="009362F3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Watan </w:t>
            </w:r>
            <w:r w:rsidR="004501FD">
              <w:rPr>
                <w:sz w:val="24"/>
                <w:szCs w:val="24"/>
              </w:rPr>
              <w:t xml:space="preserve">Kino </w:t>
            </w:r>
            <w:r w:rsidRPr="009362F3">
              <w:rPr>
                <w:sz w:val="24"/>
                <w:szCs w:val="24"/>
              </w:rPr>
              <w:t>Theatre, Ashgabat-</w:t>
            </w:r>
            <w:r w:rsidRPr="004501FD">
              <w:rPr>
                <w:b/>
                <w:bCs/>
                <w:sz w:val="24"/>
                <w:szCs w:val="24"/>
              </w:rPr>
              <w:t>Entry Free</w:t>
            </w:r>
          </w:p>
        </w:tc>
        <w:tc>
          <w:tcPr>
            <w:tcW w:w="3118" w:type="dxa"/>
          </w:tcPr>
          <w:p w:rsidR="007928F5" w:rsidRPr="007928F5" w:rsidRDefault="007928F5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>Ministry of Culture,</w:t>
            </w:r>
          </w:p>
          <w:p w:rsidR="007928F5" w:rsidRPr="007928F5" w:rsidRDefault="007928F5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 xml:space="preserve"> </w:t>
            </w:r>
            <w:proofErr w:type="spellStart"/>
            <w:r w:rsidRPr="007928F5">
              <w:rPr>
                <w:sz w:val="20"/>
                <w:szCs w:val="20"/>
              </w:rPr>
              <w:t>Govt</w:t>
            </w:r>
            <w:proofErr w:type="spellEnd"/>
            <w:r w:rsidRPr="007928F5">
              <w:rPr>
                <w:sz w:val="20"/>
                <w:szCs w:val="20"/>
              </w:rPr>
              <w:t xml:space="preserve"> of Turkmenistan, </w:t>
            </w:r>
          </w:p>
          <w:p w:rsidR="007928F5" w:rsidRPr="007928F5" w:rsidRDefault="009B75FF" w:rsidP="00792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Council for</w:t>
            </w:r>
            <w:r w:rsidR="007928F5" w:rsidRPr="007928F5">
              <w:rPr>
                <w:sz w:val="20"/>
                <w:szCs w:val="20"/>
              </w:rPr>
              <w:t xml:space="preserve"> Cultural Relations </w:t>
            </w:r>
          </w:p>
        </w:tc>
      </w:tr>
      <w:tr w:rsidR="009362F3" w:rsidRPr="009362F3" w:rsidTr="00CA032A">
        <w:tc>
          <w:tcPr>
            <w:tcW w:w="2093" w:type="dxa"/>
          </w:tcPr>
          <w:p w:rsidR="009362F3" w:rsidRPr="009362F3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19-21May, 2017 1830 hrs. </w:t>
            </w:r>
          </w:p>
        </w:tc>
        <w:tc>
          <w:tcPr>
            <w:tcW w:w="2835" w:type="dxa"/>
          </w:tcPr>
          <w:p w:rsidR="009362F3" w:rsidRPr="009362F3" w:rsidRDefault="009362F3" w:rsidP="00D907A7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Indian Film Festival </w:t>
            </w:r>
          </w:p>
        </w:tc>
        <w:tc>
          <w:tcPr>
            <w:tcW w:w="2410" w:type="dxa"/>
          </w:tcPr>
          <w:p w:rsidR="009362F3" w:rsidRPr="009362F3" w:rsidRDefault="009362F3" w:rsidP="009362F3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Ashgabat Kino theatre, Ashgabat-</w:t>
            </w:r>
            <w:r w:rsidRPr="004501FD">
              <w:rPr>
                <w:b/>
                <w:bCs/>
                <w:sz w:val="24"/>
                <w:szCs w:val="24"/>
              </w:rPr>
              <w:t>Entry Free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362F3" w:rsidRPr="007928F5" w:rsidRDefault="00CA032A" w:rsidP="00CA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928F5" w:rsidRPr="007928F5">
              <w:rPr>
                <w:sz w:val="20"/>
                <w:szCs w:val="20"/>
              </w:rPr>
              <w:t xml:space="preserve">inistry of Culture, </w:t>
            </w:r>
            <w:proofErr w:type="spellStart"/>
            <w:r w:rsidR="007928F5" w:rsidRPr="007928F5">
              <w:rPr>
                <w:sz w:val="20"/>
                <w:szCs w:val="20"/>
              </w:rPr>
              <w:t>Govt</w:t>
            </w:r>
            <w:proofErr w:type="spellEnd"/>
            <w:r w:rsidR="007928F5" w:rsidRPr="007928F5">
              <w:rPr>
                <w:sz w:val="20"/>
                <w:szCs w:val="20"/>
              </w:rPr>
              <w:t xml:space="preserve"> of Turkmenistan, </w:t>
            </w:r>
          </w:p>
        </w:tc>
      </w:tr>
      <w:tr w:rsidR="009362F3" w:rsidRPr="009362F3" w:rsidTr="00CA032A">
        <w:tc>
          <w:tcPr>
            <w:tcW w:w="2093" w:type="dxa"/>
          </w:tcPr>
          <w:p w:rsidR="009362F3" w:rsidRPr="009362F3" w:rsidRDefault="009362F3" w:rsidP="007928F5">
            <w:pPr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 xml:space="preserve">22-23May, 2017 1830 </w:t>
            </w:r>
            <w:r w:rsidR="004501FD" w:rsidRPr="009362F3">
              <w:rPr>
                <w:sz w:val="24"/>
                <w:szCs w:val="24"/>
              </w:rPr>
              <w:t>hrs.</w:t>
            </w:r>
            <w:r w:rsidRPr="00936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362F3" w:rsidRPr="009362F3" w:rsidRDefault="009362F3" w:rsidP="00D907A7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Indian Food Festival</w:t>
            </w:r>
          </w:p>
        </w:tc>
        <w:tc>
          <w:tcPr>
            <w:tcW w:w="2410" w:type="dxa"/>
          </w:tcPr>
          <w:p w:rsidR="009362F3" w:rsidRPr="009362F3" w:rsidRDefault="009362F3" w:rsidP="009362F3">
            <w:pPr>
              <w:jc w:val="both"/>
              <w:rPr>
                <w:sz w:val="24"/>
                <w:szCs w:val="24"/>
              </w:rPr>
            </w:pPr>
            <w:r w:rsidRPr="009362F3">
              <w:rPr>
                <w:sz w:val="24"/>
                <w:szCs w:val="24"/>
              </w:rPr>
              <w:t>Yyldyz Hotel-</w:t>
            </w:r>
            <w:r w:rsidRPr="004501FD">
              <w:rPr>
                <w:b/>
                <w:bCs/>
                <w:sz w:val="24"/>
                <w:szCs w:val="24"/>
              </w:rPr>
              <w:t>Entry by invitation only</w:t>
            </w:r>
          </w:p>
        </w:tc>
        <w:tc>
          <w:tcPr>
            <w:tcW w:w="3118" w:type="dxa"/>
          </w:tcPr>
          <w:p w:rsidR="007928F5" w:rsidRPr="007928F5" w:rsidRDefault="009362F3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>Ministry of Culture, Gov</w:t>
            </w:r>
            <w:r w:rsidR="007928F5" w:rsidRPr="007928F5">
              <w:rPr>
                <w:sz w:val="20"/>
                <w:szCs w:val="20"/>
              </w:rPr>
              <w:t>t.</w:t>
            </w:r>
            <w:r w:rsidRPr="007928F5">
              <w:rPr>
                <w:sz w:val="20"/>
                <w:szCs w:val="20"/>
              </w:rPr>
              <w:t xml:space="preserve"> of Turkmenistan, </w:t>
            </w:r>
          </w:p>
          <w:p w:rsidR="007928F5" w:rsidRPr="007928F5" w:rsidRDefault="007928F5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>India</w:t>
            </w:r>
            <w:r w:rsidR="009362F3" w:rsidRPr="007928F5">
              <w:rPr>
                <w:sz w:val="20"/>
                <w:szCs w:val="20"/>
              </w:rPr>
              <w:t xml:space="preserve"> </w:t>
            </w:r>
            <w:r w:rsidRPr="007928F5">
              <w:rPr>
                <w:sz w:val="20"/>
                <w:szCs w:val="20"/>
              </w:rPr>
              <w:t xml:space="preserve">Tourism Office, Frankfurt, </w:t>
            </w:r>
          </w:p>
          <w:p w:rsidR="009362F3" w:rsidRPr="007928F5" w:rsidRDefault="007928F5" w:rsidP="007928F5">
            <w:pPr>
              <w:rPr>
                <w:sz w:val="20"/>
                <w:szCs w:val="20"/>
              </w:rPr>
            </w:pPr>
            <w:r w:rsidRPr="007928F5">
              <w:rPr>
                <w:sz w:val="20"/>
                <w:szCs w:val="20"/>
              </w:rPr>
              <w:t xml:space="preserve">Ministry of Tourism, </w:t>
            </w:r>
            <w:proofErr w:type="spellStart"/>
            <w:r w:rsidRPr="007928F5">
              <w:rPr>
                <w:sz w:val="20"/>
                <w:szCs w:val="20"/>
              </w:rPr>
              <w:t>Govt</w:t>
            </w:r>
            <w:proofErr w:type="spellEnd"/>
            <w:r w:rsidRPr="007928F5">
              <w:rPr>
                <w:sz w:val="20"/>
                <w:szCs w:val="20"/>
              </w:rPr>
              <w:t xml:space="preserve"> of India</w:t>
            </w:r>
          </w:p>
        </w:tc>
      </w:tr>
    </w:tbl>
    <w:p w:rsidR="009362F3" w:rsidRPr="00063853" w:rsidRDefault="009B6700" w:rsidP="009B670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***</w:t>
      </w:r>
    </w:p>
    <w:sectPr w:rsidR="009362F3" w:rsidRPr="0006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8"/>
    <w:rsid w:val="00032789"/>
    <w:rsid w:val="00161C6C"/>
    <w:rsid w:val="00393E83"/>
    <w:rsid w:val="004501FD"/>
    <w:rsid w:val="006A71CD"/>
    <w:rsid w:val="007928F5"/>
    <w:rsid w:val="008969D4"/>
    <w:rsid w:val="009269A2"/>
    <w:rsid w:val="009362F3"/>
    <w:rsid w:val="009A7F00"/>
    <w:rsid w:val="009B6700"/>
    <w:rsid w:val="009B75FF"/>
    <w:rsid w:val="00CA032A"/>
    <w:rsid w:val="00D35574"/>
    <w:rsid w:val="00D357C8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D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D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063F-77C4-4B22-ADA6-4CD292A9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2017-05-12T06:05:00Z</cp:lastPrinted>
  <dcterms:created xsi:type="dcterms:W3CDTF">2017-05-15T05:18:00Z</dcterms:created>
  <dcterms:modified xsi:type="dcterms:W3CDTF">2017-05-15T05:18:00Z</dcterms:modified>
</cp:coreProperties>
</file>