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072B3" w:rsidRPr="006E4DD3" w:rsidTr="00C8644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072B3" w:rsidRPr="006E4DD3" w:rsidRDefault="00F072B3" w:rsidP="00C8644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072B3" w:rsidRPr="006E4DD3" w:rsidRDefault="00F072B3" w:rsidP="00C8644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072B3" w:rsidRDefault="00F072B3" w:rsidP="00AA2735">
      <w:pPr>
        <w:pStyle w:val="NoSpacing"/>
        <w:jc w:val="center"/>
        <w:rPr>
          <w:rFonts w:ascii="Bookman Old Style" w:hAnsi="Bookman Old Style"/>
          <w:b/>
          <w:sz w:val="25"/>
          <w:szCs w:val="25"/>
          <w:u w:val="single"/>
        </w:rPr>
      </w:pPr>
    </w:p>
    <w:p w:rsidR="00AA2735" w:rsidRPr="00871436" w:rsidRDefault="00AA2735" w:rsidP="00E02C36">
      <w:pPr>
        <w:pStyle w:val="NoSpacing"/>
        <w:jc w:val="center"/>
        <w:rPr>
          <w:rFonts w:ascii="Bookman Old Style" w:hAnsi="Bookman Old Style"/>
          <w:sz w:val="25"/>
          <w:szCs w:val="25"/>
        </w:rPr>
      </w:pPr>
      <w:r w:rsidRPr="00871436">
        <w:rPr>
          <w:rFonts w:ascii="Bookman Old Style" w:hAnsi="Bookman Old Style"/>
          <w:b/>
          <w:sz w:val="25"/>
          <w:szCs w:val="25"/>
          <w:u w:val="single"/>
        </w:rPr>
        <w:t>Press Release</w:t>
      </w:r>
    </w:p>
    <w:p w:rsidR="00AA2735" w:rsidRDefault="00AA2735" w:rsidP="00AA2735">
      <w:pPr>
        <w:pStyle w:val="NoSpacing"/>
        <w:rPr>
          <w:rFonts w:ascii="Bookman Old Style" w:hAnsi="Bookman Old Style"/>
          <w:sz w:val="25"/>
          <w:szCs w:val="25"/>
        </w:rPr>
      </w:pPr>
    </w:p>
    <w:p w:rsidR="00AA2735" w:rsidRPr="00871436" w:rsidRDefault="00AA2735" w:rsidP="00AA2735">
      <w:pPr>
        <w:pStyle w:val="NoSpacing"/>
        <w:rPr>
          <w:rFonts w:ascii="Bookman Old Style" w:hAnsi="Bookman Old Style"/>
          <w:sz w:val="25"/>
          <w:szCs w:val="25"/>
          <w:u w:val="single"/>
        </w:rPr>
      </w:pPr>
      <w:r w:rsidRPr="00871436">
        <w:rPr>
          <w:rFonts w:ascii="Bookman Old Style" w:hAnsi="Bookman Old Style"/>
          <w:sz w:val="25"/>
          <w:szCs w:val="25"/>
        </w:rPr>
        <w:t xml:space="preserve">Subject: </w:t>
      </w:r>
      <w:r>
        <w:rPr>
          <w:rFonts w:ascii="Bookman Old Style" w:hAnsi="Bookman Old Style"/>
          <w:sz w:val="25"/>
          <w:szCs w:val="25"/>
          <w:u w:val="single"/>
        </w:rPr>
        <w:t>Grant of 5-</w:t>
      </w:r>
      <w:r w:rsidRPr="00871436">
        <w:rPr>
          <w:rFonts w:ascii="Bookman Old Style" w:hAnsi="Bookman Old Style"/>
          <w:sz w:val="25"/>
          <w:szCs w:val="25"/>
          <w:u w:val="single"/>
        </w:rPr>
        <w:t xml:space="preserve">year </w:t>
      </w:r>
      <w:r>
        <w:rPr>
          <w:rFonts w:ascii="Bookman Old Style" w:hAnsi="Bookman Old Style"/>
          <w:sz w:val="25"/>
          <w:szCs w:val="25"/>
          <w:u w:val="single"/>
        </w:rPr>
        <w:t>and 1-year multi-</w:t>
      </w:r>
      <w:r w:rsidRPr="00871436">
        <w:rPr>
          <w:rFonts w:ascii="Bookman Old Style" w:hAnsi="Bookman Old Style"/>
          <w:sz w:val="25"/>
          <w:szCs w:val="25"/>
          <w:u w:val="single"/>
        </w:rPr>
        <w:t xml:space="preserve">entry Business </w:t>
      </w:r>
      <w:proofErr w:type="gramStart"/>
      <w:r w:rsidRPr="00871436">
        <w:rPr>
          <w:rFonts w:ascii="Bookman Old Style" w:hAnsi="Bookman Old Style"/>
          <w:sz w:val="25"/>
          <w:szCs w:val="25"/>
          <w:u w:val="single"/>
        </w:rPr>
        <w:t xml:space="preserve">Visa </w:t>
      </w:r>
      <w:r>
        <w:rPr>
          <w:rFonts w:ascii="Bookman Old Style" w:hAnsi="Bookman Old Style"/>
          <w:sz w:val="25"/>
          <w:szCs w:val="25"/>
          <w:u w:val="single"/>
        </w:rPr>
        <w:t xml:space="preserve"> to</w:t>
      </w:r>
      <w:proofErr w:type="gramEnd"/>
      <w:r>
        <w:rPr>
          <w:rFonts w:ascii="Bookman Old Style" w:hAnsi="Bookman Old Style"/>
          <w:sz w:val="25"/>
          <w:szCs w:val="25"/>
          <w:u w:val="single"/>
        </w:rPr>
        <w:t xml:space="preserve"> visit India</w:t>
      </w:r>
    </w:p>
    <w:p w:rsidR="00AA2735" w:rsidRPr="00871436" w:rsidRDefault="00AA2735" w:rsidP="00AA2735">
      <w:pPr>
        <w:pStyle w:val="NoSpacing"/>
        <w:rPr>
          <w:rFonts w:ascii="Bookman Old Style" w:hAnsi="Bookman Old Style"/>
          <w:sz w:val="25"/>
          <w:szCs w:val="25"/>
          <w:u w:val="single"/>
        </w:rPr>
      </w:pPr>
    </w:p>
    <w:p w:rsidR="00AA2735" w:rsidRDefault="00AA2735" w:rsidP="00154AC9">
      <w:pPr>
        <w:pStyle w:val="NoSpacing"/>
        <w:ind w:firstLine="720"/>
        <w:jc w:val="both"/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F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requent visitors from Kuwait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to India are strongly advised to avail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5-year or 1-yea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r, multiple entry Business visa facilities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to India. </w:t>
      </w:r>
    </w:p>
    <w:p w:rsidR="00AA2735" w:rsidRPr="00871436" w:rsidRDefault="00AA2735" w:rsidP="00AA2735">
      <w:pPr>
        <w:pStyle w:val="NoSpacing"/>
        <w:spacing w:line="360" w:lineRule="auto"/>
        <w:ind w:firstLine="720"/>
        <w:jc w:val="both"/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</w:p>
    <w:p w:rsidR="00AA2735" w:rsidRDefault="00AA2735" w:rsidP="00154AC9">
      <w:pPr>
        <w:pStyle w:val="NoSpacing"/>
        <w:jc w:val="both"/>
        <w:rPr>
          <w:rStyle w:val="apple-converted-space"/>
          <w:rFonts w:ascii="Bookman Old Style" w:hAnsi="Bookman Old Style" w:cs="Times New Roman"/>
          <w:color w:val="000000"/>
          <w:sz w:val="25"/>
          <w:szCs w:val="25"/>
          <w:shd w:val="clear" w:color="auto" w:fill="FFFFFF"/>
        </w:rPr>
      </w:pP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2.</w:t>
      </w:r>
      <w:r w:rsidRPr="00CD4805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Visas granted by Embassy have been increasing 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due to streamlining of visa procedures, with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immediate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grant of 5-year and 1-year business visas (multiple </w:t>
      </w:r>
      <w:proofErr w:type="gram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entry</w:t>
      </w:r>
      <w:proofErr w:type="gram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) and 6- month tourist visas (multiple entry) to Kuwaiti nationals (as well as foreign nationals resident in Kuwait).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All visas are granted within 72 hours. Visa fee structure 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is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as below:</w:t>
      </w:r>
      <w:r w:rsidRPr="00871436">
        <w:rPr>
          <w:rStyle w:val="apple-converted-space"/>
          <w:rFonts w:ascii="Bookman Old Style" w:hAnsi="Bookman Old Style" w:cs="Times New Roman"/>
          <w:color w:val="000000"/>
          <w:sz w:val="25"/>
          <w:szCs w:val="25"/>
          <w:shd w:val="clear" w:color="auto" w:fill="FFFFFF"/>
        </w:rPr>
        <w:t> 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ab/>
      </w:r>
      <w:r w:rsidRPr="00871436">
        <w:rPr>
          <w:rStyle w:val="apple-converted-space"/>
          <w:rFonts w:ascii="Bookman Old Style" w:hAnsi="Bookman Old Style" w:cs="Times New Roman"/>
          <w:color w:val="000000"/>
          <w:sz w:val="25"/>
          <w:szCs w:val="25"/>
          <w:shd w:val="clear" w:color="auto" w:fill="FFFFFF"/>
        </w:rPr>
        <w:t> </w:t>
      </w:r>
    </w:p>
    <w:p w:rsidR="00AA2735" w:rsidRDefault="00AA2735" w:rsidP="00AA2735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/>
          <w:sz w:val="25"/>
          <w:szCs w:val="25"/>
          <w:u w:val="single"/>
          <w:shd w:val="clear" w:color="auto" w:fill="FFFFFF"/>
        </w:rPr>
      </w:pPr>
    </w:p>
    <w:p w:rsidR="00AA2735" w:rsidRDefault="00AA2735" w:rsidP="00AA2735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/>
          <w:sz w:val="25"/>
          <w:szCs w:val="25"/>
          <w:u w:val="single"/>
          <w:shd w:val="clear" w:color="auto" w:fill="FFFFFF"/>
        </w:rPr>
      </w:pPr>
      <w:r w:rsidRPr="00871436">
        <w:rPr>
          <w:rFonts w:ascii="Bookman Old Style" w:hAnsi="Bookman Old Style"/>
          <w:b/>
          <w:color w:val="000000"/>
          <w:sz w:val="25"/>
          <w:szCs w:val="25"/>
          <w:u w:val="single"/>
          <w:shd w:val="clear" w:color="auto" w:fill="FFFFFF"/>
        </w:rPr>
        <w:t>Visa fees for Kuwaiti nationals</w:t>
      </w:r>
    </w:p>
    <w:tbl>
      <w:tblPr>
        <w:tblStyle w:val="TableGrid"/>
        <w:tblW w:w="0" w:type="auto"/>
        <w:tblLook w:val="04A0"/>
      </w:tblPr>
      <w:tblGrid>
        <w:gridCol w:w="738"/>
        <w:gridCol w:w="2610"/>
        <w:gridCol w:w="2160"/>
        <w:gridCol w:w="2340"/>
        <w:gridCol w:w="1620"/>
      </w:tblGrid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Visa Type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Validity Period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Number of entries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Visa Fee</w:t>
            </w:r>
          </w:p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(in KD)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Tourist 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6- month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Business 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1-year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38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5-year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63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Transit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15-days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Single/double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Student 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1-year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Triple 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Medical Visa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1-year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38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Medical Visa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6-months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</w:tr>
      <w:tr w:rsidR="00AA2735" w:rsidTr="00C8644F">
        <w:tc>
          <w:tcPr>
            <w:tcW w:w="738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261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Employment </w:t>
            </w:r>
          </w:p>
        </w:tc>
        <w:tc>
          <w:tcPr>
            <w:tcW w:w="216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1-year</w:t>
            </w:r>
          </w:p>
        </w:tc>
        <w:tc>
          <w:tcPr>
            <w:tcW w:w="234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620" w:type="dxa"/>
          </w:tcPr>
          <w:p w:rsidR="00AA2735" w:rsidRDefault="00AA2735" w:rsidP="00C8644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38</w:t>
            </w:r>
          </w:p>
        </w:tc>
      </w:tr>
    </w:tbl>
    <w:p w:rsidR="00AA2735" w:rsidRDefault="00AA2735" w:rsidP="00AA2735">
      <w:pPr>
        <w:pStyle w:val="NoSpacing"/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AA2735" w:rsidRPr="002C56DB" w:rsidRDefault="00AA2735" w:rsidP="00154AC9">
      <w:pPr>
        <w:pStyle w:val="NoSpacing"/>
        <w:jc w:val="both"/>
        <w:rPr>
          <w:rFonts w:ascii="Bookman Old Style" w:hAnsi="Bookman Old Style"/>
          <w:b/>
          <w:color w:val="000000"/>
          <w:sz w:val="25"/>
          <w:szCs w:val="25"/>
          <w:u w:val="single"/>
          <w:shd w:val="clear" w:color="auto" w:fill="FFFFFF"/>
        </w:rPr>
      </w:pPr>
      <w:r w:rsidRPr="00871436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[Exclusive of service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charge of KD 3.250 by CKGS and KD 1</w:t>
      </w:r>
      <w:r w:rsidRPr="00871436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towards ICWF by</w:t>
      </w:r>
      <w:r w:rsidRPr="00871436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Embassy]</w:t>
      </w:r>
    </w:p>
    <w:p w:rsidR="00AA2735" w:rsidRDefault="00AA2735" w:rsidP="00154AC9">
      <w:pPr>
        <w:pStyle w:val="NoSpacing"/>
        <w:jc w:val="both"/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 w:rsidRPr="00871436">
        <w:rPr>
          <w:rFonts w:ascii="Bookman Old Style" w:hAnsi="Bookman Old Style"/>
          <w:color w:val="000000"/>
          <w:sz w:val="25"/>
          <w:szCs w:val="25"/>
        </w:rPr>
        <w:lastRenderedPageBreak/>
        <w:br/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3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. 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ab/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As the visa work of Embassy has been outsourced to M/s CKGS, Kuwait since August 2014, applicants are advised to visit Passport and Visa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Centres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of CKGS at (a) Indian Visa and Passport Application Centre, 17 Floor,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Behbahani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Building,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Sharq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, Kuwait : Tel. No. 22440392 (e- mail: indiavisa.kuwait@ckgs.com )or ; (b) Indian Visa and Passport Application Centre, Complex Kais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Alghanim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, 4 Floor, Mecca Street, in front of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Annod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Complex,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Fahahe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el</w:t>
      </w:r>
      <w:proofErr w:type="spellEnd"/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, Kuwait: Tel. No. 22909229 (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e-mail: indiavisa.kuwait@ckgs.com). (c)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Jleeb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Al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Showaikh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(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Abbasiya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) 2nd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Floor</w:t>
      </w:r>
      <w:proofErr w:type="gram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,Jleeb</w:t>
      </w:r>
      <w:proofErr w:type="spellEnd"/>
      <w:proofErr w:type="gram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Al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Shuyoukh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Block 1,Street 1,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Xcite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building, Kuwait Tel. No. 24342428) ( e-mail: indiavisa.kuwait@ckgs.com). The website of CKGS, Kuwait is </w:t>
      </w:r>
      <w:hyperlink r:id="rId6" w:history="1">
        <w:r w:rsidRPr="00D408B6">
          <w:rPr>
            <w:rStyle w:val="Hyperlink"/>
            <w:rFonts w:ascii="Bookman Old Style" w:hAnsi="Bookman Old Style"/>
            <w:sz w:val="25"/>
            <w:szCs w:val="25"/>
            <w:shd w:val="clear" w:color="auto" w:fill="FFFFFF"/>
          </w:rPr>
          <w:t>http://www.kw.ckgs.in/</w:t>
        </w:r>
      </w:hyperlink>
    </w:p>
    <w:p w:rsidR="00AA2735" w:rsidRDefault="00AA2735" w:rsidP="00AA2735">
      <w:pPr>
        <w:pStyle w:val="NoSpacing"/>
        <w:spacing w:line="360" w:lineRule="auto"/>
        <w:jc w:val="both"/>
        <w:rPr>
          <w:rFonts w:ascii="Bookman Old Style" w:hAnsi="Bookman Old Style"/>
          <w:color w:val="000000"/>
          <w:sz w:val="25"/>
          <w:szCs w:val="25"/>
        </w:rPr>
      </w:pPr>
    </w:p>
    <w:p w:rsidR="00AA2735" w:rsidRDefault="00AA2735" w:rsidP="00154AC9">
      <w:pPr>
        <w:pStyle w:val="NoSpacing"/>
        <w:jc w:val="both"/>
        <w:rPr>
          <w:rFonts w:ascii="Bookman Old Style" w:hAnsi="Bookman Old Style"/>
          <w:color w:val="000000"/>
          <w:sz w:val="25"/>
          <w:szCs w:val="25"/>
        </w:rPr>
      </w:pPr>
      <w:r>
        <w:rPr>
          <w:rFonts w:ascii="Bookman Old Style" w:hAnsi="Bookman Old Style"/>
          <w:color w:val="000000"/>
          <w:sz w:val="25"/>
          <w:szCs w:val="25"/>
        </w:rPr>
        <w:t>4.</w:t>
      </w:r>
      <w:r>
        <w:rPr>
          <w:rFonts w:ascii="Bookman Old Style" w:hAnsi="Bookman Old Style"/>
          <w:color w:val="000000"/>
          <w:sz w:val="25"/>
          <w:szCs w:val="25"/>
        </w:rPr>
        <w:tab/>
        <w:t xml:space="preserve">The Indian Passport &amp; Visa Service Provider, M/s Cox &amp; Kings Services (CKGS), Kuwait has been providing visa services to Kuwaiti nationals and expatriates through their three centers – </w:t>
      </w:r>
      <w:proofErr w:type="spellStart"/>
      <w:r>
        <w:rPr>
          <w:rFonts w:ascii="Bookman Old Style" w:hAnsi="Bookman Old Style"/>
          <w:color w:val="000000"/>
          <w:sz w:val="25"/>
          <w:szCs w:val="25"/>
        </w:rPr>
        <w:t>Sharq</w:t>
      </w:r>
      <w:proofErr w:type="spellEnd"/>
      <w:r>
        <w:rPr>
          <w:rFonts w:ascii="Bookman Old Style" w:hAnsi="Bookman Old Style"/>
          <w:color w:val="000000"/>
          <w:sz w:val="25"/>
          <w:szCs w:val="25"/>
        </w:rPr>
        <w:t xml:space="preserve"> (City), </w:t>
      </w:r>
      <w:proofErr w:type="spellStart"/>
      <w:r>
        <w:rPr>
          <w:rFonts w:ascii="Bookman Old Style" w:hAnsi="Bookman Old Style"/>
          <w:color w:val="000000"/>
          <w:sz w:val="25"/>
          <w:szCs w:val="25"/>
        </w:rPr>
        <w:t>Fahaheel</w:t>
      </w:r>
      <w:proofErr w:type="spellEnd"/>
      <w:r>
        <w:rPr>
          <w:rFonts w:ascii="Bookman Old Style" w:hAnsi="Bookman Old Style"/>
          <w:color w:val="000000"/>
          <w:sz w:val="25"/>
          <w:szCs w:val="25"/>
        </w:rPr>
        <w:t xml:space="preserve"> and </w:t>
      </w:r>
      <w:proofErr w:type="spellStart"/>
      <w:r>
        <w:rPr>
          <w:rFonts w:ascii="Bookman Old Style" w:hAnsi="Bookman Old Style"/>
          <w:color w:val="000000"/>
          <w:sz w:val="25"/>
          <w:szCs w:val="25"/>
        </w:rPr>
        <w:t>Abbasiya</w:t>
      </w:r>
      <w:proofErr w:type="spellEnd"/>
      <w:r>
        <w:rPr>
          <w:rFonts w:ascii="Bookman Old Style" w:hAnsi="Bookman Old Style"/>
          <w:color w:val="000000"/>
          <w:sz w:val="25"/>
          <w:szCs w:val="25"/>
        </w:rPr>
        <w:t xml:space="preserve"> (</w:t>
      </w:r>
      <w:proofErr w:type="spellStart"/>
      <w:r>
        <w:rPr>
          <w:rFonts w:ascii="Bookman Old Style" w:hAnsi="Bookman Old Style"/>
          <w:color w:val="000000"/>
          <w:sz w:val="25"/>
          <w:szCs w:val="25"/>
        </w:rPr>
        <w:t>Jleeb</w:t>
      </w:r>
      <w:proofErr w:type="spellEnd"/>
      <w:r>
        <w:rPr>
          <w:rFonts w:ascii="Bookman Old Style" w:hAnsi="Bookman Old Style"/>
          <w:color w:val="000000"/>
          <w:sz w:val="25"/>
          <w:szCs w:val="25"/>
        </w:rPr>
        <w:t xml:space="preserve"> Al-</w:t>
      </w:r>
      <w:proofErr w:type="spellStart"/>
      <w:r>
        <w:rPr>
          <w:rFonts w:ascii="Bookman Old Style" w:hAnsi="Bookman Old Style"/>
          <w:color w:val="000000"/>
          <w:sz w:val="25"/>
          <w:szCs w:val="25"/>
        </w:rPr>
        <w:t>Showaikh</w:t>
      </w:r>
      <w:proofErr w:type="spellEnd"/>
      <w:r>
        <w:rPr>
          <w:rFonts w:ascii="Bookman Old Style" w:hAnsi="Bookman Old Style"/>
          <w:color w:val="000000"/>
          <w:sz w:val="25"/>
          <w:szCs w:val="25"/>
        </w:rPr>
        <w:t xml:space="preserve">) as well as passport services to Indian community. The above centre functions from 8 AM – 12 </w:t>
      </w:r>
      <w:proofErr w:type="gramStart"/>
      <w:r>
        <w:rPr>
          <w:rFonts w:ascii="Bookman Old Style" w:hAnsi="Bookman Old Style"/>
          <w:color w:val="000000"/>
          <w:sz w:val="25"/>
          <w:szCs w:val="25"/>
        </w:rPr>
        <w:t>noon</w:t>
      </w:r>
      <w:proofErr w:type="gramEnd"/>
      <w:r>
        <w:rPr>
          <w:rFonts w:ascii="Bookman Old Style" w:hAnsi="Bookman Old Style"/>
          <w:color w:val="000000"/>
          <w:sz w:val="25"/>
          <w:szCs w:val="25"/>
        </w:rPr>
        <w:t xml:space="preserve"> and, thereafter, from 4 PM - 8PM on all working days.  However, on closed holidays on Fridays and Saturday, the working hours are from 4 PM-8PM only. Attestation services are provided at Embassy premises only. </w:t>
      </w:r>
    </w:p>
    <w:p w:rsidR="00AA2735" w:rsidRDefault="00AA2735" w:rsidP="00154AC9">
      <w:pPr>
        <w:pStyle w:val="NoSpacing"/>
        <w:jc w:val="both"/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 w:rsidRPr="00871436">
        <w:rPr>
          <w:rFonts w:ascii="Bookman Old Style" w:hAnsi="Bookman Old Style"/>
          <w:color w:val="000000"/>
          <w:sz w:val="25"/>
          <w:szCs w:val="25"/>
        </w:rPr>
        <w:br/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5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.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ab/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In emergency cases, 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Embassy will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accept visa applications at its Visa Wing from applicants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seeking urgent service</w:t>
      </w:r>
      <w:bookmarkStart w:id="0" w:name="_GoBack"/>
      <w:bookmarkEnd w:id="0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. 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Embassy’s Visa</w:t>
      </w:r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Officer may be contacted at Tel. No. 22550600 </w:t>
      </w:r>
      <w:proofErr w:type="spellStart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Extn</w:t>
      </w:r>
      <w:proofErr w:type="spellEnd"/>
      <w:r w:rsidRPr="0087143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. 279 and for passport related queries applicants may call First Secretary (Consular) at Mobile No. 97229948. </w:t>
      </w:r>
    </w:p>
    <w:p w:rsidR="00AA2735" w:rsidRDefault="00AA2735" w:rsidP="00AA2735">
      <w:pPr>
        <w:pStyle w:val="NoSpacing"/>
        <w:spacing w:line="360" w:lineRule="auto"/>
        <w:jc w:val="center"/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</w:p>
    <w:p w:rsidR="00AA2735" w:rsidRPr="00F072B3" w:rsidRDefault="00F072B3" w:rsidP="00AA2735">
      <w:pPr>
        <w:pStyle w:val="NoSpacing"/>
        <w:jc w:val="right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0</w:t>
      </w:r>
      <w:r w:rsidR="00AA2735" w:rsidRPr="00F072B3">
        <w:rPr>
          <w:rFonts w:ascii="Bookman Old Style" w:hAnsi="Bookman Old Style"/>
          <w:b/>
          <w:sz w:val="25"/>
          <w:szCs w:val="25"/>
        </w:rPr>
        <w:t>3 August 2016</w:t>
      </w:r>
    </w:p>
    <w:p w:rsidR="00DF5078" w:rsidRPr="00AA2735" w:rsidRDefault="00DF5078">
      <w:pPr>
        <w:rPr>
          <w:sz w:val="24"/>
          <w:szCs w:val="24"/>
        </w:rPr>
      </w:pPr>
    </w:p>
    <w:sectPr w:rsidR="00DF5078" w:rsidRPr="00AA2735" w:rsidSect="00E5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735"/>
    <w:rsid w:val="00154AC9"/>
    <w:rsid w:val="00852167"/>
    <w:rsid w:val="00AA2735"/>
    <w:rsid w:val="00DF5078"/>
    <w:rsid w:val="00E02C36"/>
    <w:rsid w:val="00F0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2735"/>
  </w:style>
  <w:style w:type="character" w:styleId="Hyperlink">
    <w:name w:val="Hyperlink"/>
    <w:basedOn w:val="DefaultParagraphFont"/>
    <w:uiPriority w:val="99"/>
    <w:unhideWhenUsed/>
    <w:rsid w:val="00AA2735"/>
    <w:rPr>
      <w:color w:val="0000FF"/>
      <w:u w:val="single"/>
    </w:rPr>
  </w:style>
  <w:style w:type="paragraph" w:styleId="NoSpacing">
    <w:name w:val="No Spacing"/>
    <w:uiPriority w:val="1"/>
    <w:qFormat/>
    <w:rsid w:val="00AA273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AA27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w.ckgs.in/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2016-08-03T14:03:00Z</dcterms:created>
  <dcterms:modified xsi:type="dcterms:W3CDTF">2016-08-03T14:08:00Z</dcterms:modified>
</cp:coreProperties>
</file>