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46" w:rsidRDefault="00414746"/>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787"/>
        <w:gridCol w:w="6557"/>
      </w:tblGrid>
      <w:tr w:rsidR="00414746" w:rsidRPr="006E4DD3" w:rsidTr="005E4410">
        <w:trPr>
          <w:trHeight w:val="2011"/>
          <w:tblCellSpacing w:w="0" w:type="dxa"/>
          <w:jc w:val="center"/>
        </w:trPr>
        <w:tc>
          <w:tcPr>
            <w:tcW w:w="279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414746" w:rsidRPr="006E4DD3" w:rsidRDefault="00414746" w:rsidP="005E4410">
            <w:pPr>
              <w:rPr>
                <w:rFonts w:cs="Arial"/>
                <w:sz w:val="32"/>
                <w:szCs w:val="32"/>
              </w:rPr>
            </w:pPr>
            <w:r w:rsidRPr="006E4DD3">
              <w:rPr>
                <w:rFonts w:cs="Arial"/>
                <w:sz w:val="32"/>
                <w:szCs w:val="32"/>
              </w:rPr>
              <w:br w:type="page"/>
            </w:r>
            <w:r>
              <w:rPr>
                <w:rFonts w:cs="Arial"/>
                <w:noProof/>
                <w:sz w:val="32"/>
                <w:szCs w:val="32"/>
              </w:rPr>
              <w:drawing>
                <wp:inline distT="0" distB="0" distL="0" distR="0" wp14:anchorId="466DF020" wp14:editId="02A1D219">
                  <wp:extent cx="1390650" cy="1247775"/>
                  <wp:effectExtent l="19050" t="0" r="0" b="0"/>
                  <wp:docPr id="1" name="Picture 1" descr="http://www.indianconsulate-sf.org/images/ashokach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dianconsulate-sf.org/images/ashokachkra.gif"/>
                          <pic:cNvPicPr>
                            <a:picLocks noChangeAspect="1" noChangeArrowheads="1"/>
                          </pic:cNvPicPr>
                        </pic:nvPicPr>
                        <pic:blipFill>
                          <a:blip r:embed="rId4" r:link="rId5" cstate="print"/>
                          <a:srcRect/>
                          <a:stretch>
                            <a:fillRect/>
                          </a:stretch>
                        </pic:blipFill>
                        <pic:spPr bwMode="auto">
                          <a:xfrm>
                            <a:off x="0" y="0"/>
                            <a:ext cx="1390650" cy="1247775"/>
                          </a:xfrm>
                          <a:prstGeom prst="rect">
                            <a:avLst/>
                          </a:prstGeom>
                          <a:noFill/>
                          <a:ln w="9525">
                            <a:noFill/>
                            <a:miter lim="800000"/>
                            <a:headEnd/>
                            <a:tailEnd/>
                          </a:ln>
                        </pic:spPr>
                      </pic:pic>
                    </a:graphicData>
                  </a:graphic>
                </wp:inline>
              </w:drawing>
            </w:r>
          </w:p>
        </w:tc>
        <w:tc>
          <w:tcPr>
            <w:tcW w:w="6736" w:type="dxa"/>
            <w:tcBorders>
              <w:top w:val="outset" w:sz="6" w:space="0" w:color="8AC4F2"/>
              <w:left w:val="outset" w:sz="6" w:space="0" w:color="8AC4F2"/>
              <w:bottom w:val="outset" w:sz="6" w:space="0" w:color="8AC4F2"/>
              <w:right w:val="outset" w:sz="6" w:space="0" w:color="8AC4F2"/>
            </w:tcBorders>
            <w:shd w:val="clear" w:color="auto" w:fill="8AC4F2"/>
            <w:vAlign w:val="center"/>
          </w:tcPr>
          <w:p w:rsidR="00414746" w:rsidRPr="006E4DD3" w:rsidRDefault="00414746" w:rsidP="005E4410">
            <w:pPr>
              <w:pStyle w:val="NormalWeb"/>
              <w:jc w:val="center"/>
              <w:rPr>
                <w:rFonts w:ascii="Arial" w:hAnsi="Arial" w:cs="Arial"/>
                <w:color w:val="000000"/>
                <w:sz w:val="32"/>
                <w:szCs w:val="32"/>
              </w:rPr>
            </w:pPr>
            <w:r w:rsidRPr="006E4DD3">
              <w:rPr>
                <w:rFonts w:ascii="Arial" w:hAnsi="Arial" w:cs="Arial"/>
                <w:color w:val="000000"/>
                <w:sz w:val="32"/>
                <w:szCs w:val="32"/>
              </w:rPr>
              <w:t xml:space="preserve">EMBASSY OF </w:t>
            </w:r>
            <w:smartTag w:uri="urn:schemas-microsoft-com:office:smarttags" w:element="country-region">
              <w:r w:rsidRPr="006E4DD3">
                <w:rPr>
                  <w:rFonts w:ascii="Arial" w:hAnsi="Arial" w:cs="Arial"/>
                  <w:color w:val="000000"/>
                  <w:sz w:val="32"/>
                  <w:szCs w:val="32"/>
                </w:rPr>
                <w:t>INDIA</w:t>
              </w:r>
            </w:smartTag>
            <w:r w:rsidRPr="006E4DD3">
              <w:rPr>
                <w:rFonts w:ascii="Arial" w:hAnsi="Arial" w:cs="Arial"/>
                <w:color w:val="000000"/>
                <w:sz w:val="32"/>
                <w:szCs w:val="32"/>
              </w:rPr>
              <w:t xml:space="preserve"> </w:t>
            </w:r>
            <w:r w:rsidRPr="006E4DD3">
              <w:rPr>
                <w:rFonts w:ascii="Arial" w:hAnsi="Arial" w:cs="Arial"/>
                <w:color w:val="000000"/>
                <w:sz w:val="32"/>
                <w:szCs w:val="32"/>
              </w:rPr>
              <w:br/>
            </w:r>
            <w:smartTag w:uri="urn:schemas-microsoft-com:office:smarttags" w:element="place">
              <w:smartTag w:uri="urn:schemas-microsoft-com:office:smarttags" w:element="country-region">
                <w:r w:rsidRPr="006E4DD3">
                  <w:rPr>
                    <w:rFonts w:ascii="Arial" w:hAnsi="Arial" w:cs="Arial"/>
                    <w:color w:val="000000"/>
                    <w:sz w:val="32"/>
                    <w:szCs w:val="32"/>
                  </w:rPr>
                  <w:t>KUWAIT</w:t>
                </w:r>
              </w:smartTag>
            </w:smartTag>
          </w:p>
        </w:tc>
      </w:tr>
    </w:tbl>
    <w:p w:rsidR="00414746" w:rsidRDefault="00414746">
      <w:bookmarkStart w:id="0" w:name="_GoBack"/>
      <w:bookmarkEnd w:id="0"/>
    </w:p>
    <w:tbl>
      <w:tblPr>
        <w:tblW w:w="5000" w:type="pct"/>
        <w:tblCellSpacing w:w="7" w:type="dxa"/>
        <w:shd w:val="clear" w:color="auto" w:fill="FFFFFF"/>
        <w:tblCellMar>
          <w:top w:w="150" w:type="dxa"/>
          <w:left w:w="150" w:type="dxa"/>
          <w:bottom w:w="150" w:type="dxa"/>
          <w:right w:w="150" w:type="dxa"/>
        </w:tblCellMar>
        <w:tblLook w:val="04A0" w:firstRow="1" w:lastRow="0" w:firstColumn="1" w:lastColumn="0" w:noHBand="0" w:noVBand="1"/>
      </w:tblPr>
      <w:tblGrid>
        <w:gridCol w:w="9360"/>
      </w:tblGrid>
      <w:tr w:rsidR="00B974F9" w:rsidRPr="00B974F9" w:rsidTr="00B974F9">
        <w:trPr>
          <w:tblCellSpacing w:w="7" w:type="dxa"/>
        </w:trPr>
        <w:tc>
          <w:tcPr>
            <w:tcW w:w="0" w:type="auto"/>
            <w:shd w:val="clear" w:color="auto" w:fill="FFFFFF"/>
            <w:vAlign w:val="center"/>
            <w:hideMark/>
          </w:tcPr>
          <w:p w:rsidR="00B974F9" w:rsidRPr="00B974F9" w:rsidRDefault="00B974F9" w:rsidP="00B974F9">
            <w:pPr>
              <w:spacing w:after="0" w:line="301" w:lineRule="atLeast"/>
              <w:rPr>
                <w:rFonts w:ascii="Arial" w:eastAsia="Times New Roman" w:hAnsi="Arial" w:cs="Arial"/>
                <w:color w:val="515151"/>
                <w:sz w:val="18"/>
                <w:szCs w:val="18"/>
              </w:rPr>
            </w:pPr>
            <w:r w:rsidRPr="00B974F9">
              <w:rPr>
                <w:rFonts w:ascii="Times New Roman" w:eastAsia="Times New Roman" w:hAnsi="Times New Roman" w:cs="Times New Roman"/>
                <w:color w:val="006699"/>
                <w:sz w:val="36"/>
                <w:szCs w:val="36"/>
              </w:rPr>
              <w:t>The suspension of bank guarantee</w:t>
            </w:r>
          </w:p>
        </w:tc>
      </w:tr>
      <w:tr w:rsidR="00B974F9" w:rsidRPr="00B974F9" w:rsidTr="00B974F9">
        <w:trPr>
          <w:tblCellSpacing w:w="7" w:type="dxa"/>
        </w:trPr>
        <w:tc>
          <w:tcPr>
            <w:tcW w:w="0" w:type="auto"/>
            <w:shd w:val="clear" w:color="auto" w:fill="FFFFFF"/>
            <w:vAlign w:val="center"/>
            <w:hideMark/>
          </w:tcPr>
          <w:p w:rsidR="00B974F9" w:rsidRPr="00B974F9" w:rsidRDefault="00B974F9" w:rsidP="00B974F9">
            <w:pPr>
              <w:spacing w:after="0" w:line="301" w:lineRule="atLeast"/>
              <w:rPr>
                <w:rFonts w:ascii="Arial" w:eastAsia="Times New Roman" w:hAnsi="Arial" w:cs="Arial"/>
                <w:color w:val="515151"/>
                <w:sz w:val="18"/>
                <w:szCs w:val="18"/>
              </w:rPr>
            </w:pPr>
          </w:p>
        </w:tc>
      </w:tr>
      <w:tr w:rsidR="00B974F9" w:rsidRPr="00B974F9" w:rsidTr="00B974F9">
        <w:trPr>
          <w:tblCellSpacing w:w="7" w:type="dxa"/>
        </w:trPr>
        <w:tc>
          <w:tcPr>
            <w:tcW w:w="0" w:type="auto"/>
            <w:shd w:val="clear" w:color="auto" w:fill="FFFFFF"/>
            <w:vAlign w:val="center"/>
            <w:hideMark/>
          </w:tcPr>
          <w:p w:rsidR="00B974F9" w:rsidRPr="00B974F9" w:rsidRDefault="00B974F9" w:rsidP="00B974F9">
            <w:pPr>
              <w:spacing w:after="0" w:line="301" w:lineRule="atLeast"/>
              <w:rPr>
                <w:rFonts w:ascii="Arial" w:eastAsia="Times New Roman" w:hAnsi="Arial" w:cs="Arial"/>
                <w:color w:val="515151"/>
                <w:sz w:val="18"/>
                <w:szCs w:val="18"/>
              </w:rPr>
            </w:pPr>
            <w:r w:rsidRPr="00B974F9">
              <w:rPr>
                <w:rFonts w:ascii="Century Gothic" w:eastAsia="Times New Roman" w:hAnsi="Century Gothic" w:cs="Arial"/>
                <w:color w:val="000000"/>
              </w:rPr>
              <w:t>India implemented the KD 720 bank guarantee measure in September 2014 for the welfare of Indian female domestic workers coming to work in Kuwait. </w:t>
            </w:r>
            <w:r w:rsidRPr="00B974F9">
              <w:rPr>
                <w:rFonts w:ascii="Century Gothic" w:eastAsia="Times New Roman" w:hAnsi="Century Gothic" w:cs="Arial"/>
                <w:color w:val="000000"/>
              </w:rPr>
              <w:br/>
            </w:r>
            <w:r w:rsidRPr="00B974F9">
              <w:rPr>
                <w:rFonts w:ascii="Century Gothic" w:eastAsia="Times New Roman" w:hAnsi="Century Gothic" w:cs="Arial"/>
                <w:color w:val="000000"/>
              </w:rPr>
              <w:br/>
              <w:t>2. After discussing this issue with Kuwaiti authorities, it has been agreed to suspend with effect from 12 December 2014 taking any bank guarantees from sponsors in Kuwait, while keeping in abeyance the attestation of employment contracts of Indian female domestic workers.</w:t>
            </w:r>
            <w:r w:rsidRPr="00B974F9">
              <w:rPr>
                <w:rFonts w:ascii="Century Gothic" w:eastAsia="Times New Roman" w:hAnsi="Century Gothic" w:cs="Arial"/>
                <w:color w:val="000000"/>
              </w:rPr>
              <w:br/>
            </w:r>
            <w:r w:rsidRPr="00B974F9">
              <w:rPr>
                <w:rFonts w:ascii="Century Gothic" w:eastAsia="Times New Roman" w:hAnsi="Century Gothic" w:cs="Arial"/>
                <w:color w:val="000000"/>
              </w:rPr>
              <w:br/>
              <w:t>3. Indian and Kuwaiti sides are constantly engaged in finding a long-term resolution of this issue. </w:t>
            </w:r>
            <w:r w:rsidRPr="00B974F9">
              <w:rPr>
                <w:rFonts w:ascii="Century Gothic" w:eastAsia="Times New Roman" w:hAnsi="Century Gothic" w:cs="Arial"/>
                <w:color w:val="000000"/>
              </w:rPr>
              <w:br/>
            </w:r>
          </w:p>
        </w:tc>
      </w:tr>
      <w:tr w:rsidR="00B974F9" w:rsidRPr="00B974F9" w:rsidTr="00B974F9">
        <w:trPr>
          <w:tblCellSpacing w:w="7" w:type="dxa"/>
        </w:trPr>
        <w:tc>
          <w:tcPr>
            <w:tcW w:w="0" w:type="auto"/>
            <w:shd w:val="clear" w:color="auto" w:fill="FFFFFF"/>
            <w:vAlign w:val="center"/>
            <w:hideMark/>
          </w:tcPr>
          <w:p w:rsidR="00B974F9" w:rsidRPr="00B974F9" w:rsidRDefault="00B974F9" w:rsidP="00B974F9">
            <w:pPr>
              <w:spacing w:after="0" w:line="301" w:lineRule="atLeast"/>
              <w:rPr>
                <w:rFonts w:ascii="Arial" w:eastAsia="Times New Roman" w:hAnsi="Arial" w:cs="Arial"/>
                <w:color w:val="515151"/>
                <w:sz w:val="18"/>
                <w:szCs w:val="18"/>
              </w:rPr>
            </w:pPr>
          </w:p>
        </w:tc>
      </w:tr>
      <w:tr w:rsidR="00B974F9" w:rsidRPr="00B974F9" w:rsidTr="00B974F9">
        <w:trPr>
          <w:tblCellSpacing w:w="7" w:type="dxa"/>
        </w:trPr>
        <w:tc>
          <w:tcPr>
            <w:tcW w:w="0" w:type="auto"/>
            <w:shd w:val="clear" w:color="auto" w:fill="FFFFFF"/>
            <w:vAlign w:val="center"/>
            <w:hideMark/>
          </w:tcPr>
          <w:p w:rsidR="00B974F9" w:rsidRPr="00B974F9" w:rsidRDefault="00B974F9" w:rsidP="00B974F9">
            <w:pPr>
              <w:spacing w:after="0" w:line="301" w:lineRule="atLeast"/>
              <w:rPr>
                <w:rFonts w:ascii="Arial" w:eastAsia="Times New Roman" w:hAnsi="Arial" w:cs="Arial"/>
                <w:color w:val="515151"/>
                <w:sz w:val="18"/>
                <w:szCs w:val="18"/>
              </w:rPr>
            </w:pPr>
            <w:r w:rsidRPr="00B974F9">
              <w:rPr>
                <w:rFonts w:ascii="Century Gothic" w:eastAsia="Times New Roman" w:hAnsi="Century Gothic" w:cs="Arial"/>
                <w:color w:val="000000"/>
              </w:rPr>
              <w:t>Kuwait</w:t>
            </w:r>
          </w:p>
        </w:tc>
      </w:tr>
      <w:tr w:rsidR="00B974F9" w:rsidRPr="00B974F9" w:rsidTr="00B974F9">
        <w:trPr>
          <w:tblCellSpacing w:w="7" w:type="dxa"/>
        </w:trPr>
        <w:tc>
          <w:tcPr>
            <w:tcW w:w="0" w:type="auto"/>
            <w:shd w:val="clear" w:color="auto" w:fill="FFFFFF"/>
            <w:vAlign w:val="center"/>
            <w:hideMark/>
          </w:tcPr>
          <w:p w:rsidR="00B974F9" w:rsidRPr="00B974F9" w:rsidRDefault="00B974F9" w:rsidP="00B974F9">
            <w:pPr>
              <w:spacing w:after="0" w:line="301" w:lineRule="atLeast"/>
              <w:rPr>
                <w:rFonts w:ascii="Arial" w:eastAsia="Times New Roman" w:hAnsi="Arial" w:cs="Arial"/>
                <w:color w:val="515151"/>
                <w:sz w:val="18"/>
                <w:szCs w:val="18"/>
              </w:rPr>
            </w:pPr>
            <w:r w:rsidRPr="00B974F9">
              <w:rPr>
                <w:rFonts w:ascii="Century Gothic" w:eastAsia="Times New Roman" w:hAnsi="Century Gothic" w:cs="Arial"/>
                <w:color w:val="000000"/>
              </w:rPr>
              <w:t>1 January 2015</w:t>
            </w:r>
          </w:p>
        </w:tc>
      </w:tr>
    </w:tbl>
    <w:p w:rsidR="00A27B29" w:rsidRDefault="00A27B29"/>
    <w:sectPr w:rsidR="00A2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788"/>
    <w:rsid w:val="00414746"/>
    <w:rsid w:val="005E1788"/>
    <w:rsid w:val="00A27B29"/>
    <w:rsid w:val="00B9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6F6AFC0-C594-42A5-A5B3-108FEC3B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74F9"/>
  </w:style>
  <w:style w:type="paragraph" w:styleId="NormalWeb">
    <w:name w:val="Normal (Web)"/>
    <w:basedOn w:val="Normal"/>
    <w:rsid w:val="004147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01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indianconsulate-sf.org/images/ashokachkra.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2015-04-15T14:02:00Z</dcterms:created>
  <dcterms:modified xsi:type="dcterms:W3CDTF">2015-04-15T14:03:00Z</dcterms:modified>
</cp:coreProperties>
</file>